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E7B" w:rsidRPr="00C17381" w:rsidRDefault="006F1E7B" w:rsidP="006F1E7B">
      <w:pPr>
        <w:spacing w:after="0"/>
        <w:jc w:val="center"/>
        <w:rPr>
          <w:rFonts w:ascii="Times New Roman" w:hAnsi="Times New Roman"/>
          <w:b/>
          <w:sz w:val="24"/>
          <w:szCs w:val="24"/>
        </w:rPr>
      </w:pPr>
      <w:r>
        <w:rPr>
          <w:rFonts w:ascii="Times New Roman" w:hAnsi="Times New Roman"/>
          <w:b/>
          <w:sz w:val="24"/>
          <w:szCs w:val="24"/>
        </w:rPr>
        <w:t xml:space="preserve">Project </w:t>
      </w:r>
      <w:r w:rsidRPr="00C17381">
        <w:rPr>
          <w:rFonts w:ascii="Times New Roman" w:hAnsi="Times New Roman"/>
          <w:b/>
          <w:sz w:val="24"/>
          <w:szCs w:val="24"/>
        </w:rPr>
        <w:t>Concept Note</w:t>
      </w:r>
    </w:p>
    <w:p w:rsidR="002B12E6" w:rsidRPr="00C17381" w:rsidRDefault="006F1E7B" w:rsidP="00E32AF7">
      <w:pPr>
        <w:spacing w:after="0"/>
        <w:jc w:val="center"/>
        <w:rPr>
          <w:rFonts w:ascii="Times New Roman" w:hAnsi="Times New Roman"/>
          <w:b/>
          <w:sz w:val="24"/>
          <w:szCs w:val="24"/>
        </w:rPr>
      </w:pPr>
      <w:r w:rsidRPr="00C17381">
        <w:rPr>
          <w:rFonts w:ascii="Times New Roman" w:hAnsi="Times New Roman"/>
          <w:b/>
          <w:sz w:val="24"/>
          <w:szCs w:val="24"/>
        </w:rPr>
        <w:t xml:space="preserve">Impact Evaluation </w:t>
      </w:r>
      <w:r>
        <w:rPr>
          <w:rFonts w:ascii="Times New Roman" w:hAnsi="Times New Roman"/>
          <w:b/>
          <w:sz w:val="24"/>
          <w:szCs w:val="24"/>
        </w:rPr>
        <w:t xml:space="preserve">of the </w:t>
      </w:r>
      <w:r w:rsidR="002B12E6" w:rsidRPr="00C17381">
        <w:rPr>
          <w:rFonts w:ascii="Times New Roman" w:hAnsi="Times New Roman"/>
          <w:b/>
          <w:sz w:val="24"/>
          <w:szCs w:val="24"/>
        </w:rPr>
        <w:t>Adolescent Girls Employment Initiative (AGEI)- NEPAL</w:t>
      </w:r>
    </w:p>
    <w:p w:rsidR="00F07C6B" w:rsidRPr="00C17381" w:rsidRDefault="003E5B0B" w:rsidP="002B12E6">
      <w:pPr>
        <w:spacing w:after="0"/>
        <w:jc w:val="center"/>
        <w:rPr>
          <w:rFonts w:ascii="Times New Roman" w:hAnsi="Times New Roman"/>
          <w:b/>
          <w:sz w:val="24"/>
          <w:szCs w:val="24"/>
        </w:rPr>
      </w:pPr>
      <w:r>
        <w:rPr>
          <w:rFonts w:ascii="Times New Roman" w:hAnsi="Times New Roman"/>
          <w:b/>
          <w:sz w:val="24"/>
          <w:szCs w:val="24"/>
        </w:rPr>
        <w:t>20 January 2010</w:t>
      </w:r>
    </w:p>
    <w:p w:rsidR="002B12E6" w:rsidRPr="00C17381" w:rsidRDefault="002B12E6" w:rsidP="002B12E6">
      <w:pPr>
        <w:spacing w:after="0"/>
        <w:jc w:val="both"/>
        <w:rPr>
          <w:rFonts w:ascii="Times New Roman" w:hAnsi="Times New Roman"/>
          <w:b/>
          <w:sz w:val="24"/>
          <w:szCs w:val="24"/>
        </w:rPr>
      </w:pPr>
    </w:p>
    <w:p w:rsidR="006972C0" w:rsidRPr="00C17381" w:rsidRDefault="00DB5254" w:rsidP="00DB5254">
      <w:pPr>
        <w:pStyle w:val="ListParagraph"/>
        <w:numPr>
          <w:ilvl w:val="0"/>
          <w:numId w:val="10"/>
        </w:numPr>
        <w:jc w:val="both"/>
        <w:rPr>
          <w:rFonts w:ascii="Times New Roman" w:hAnsi="Times New Roman"/>
          <w:b/>
          <w:sz w:val="24"/>
          <w:szCs w:val="24"/>
        </w:rPr>
      </w:pPr>
      <w:r w:rsidRPr="00C17381">
        <w:rPr>
          <w:rFonts w:ascii="Times New Roman" w:hAnsi="Times New Roman"/>
          <w:b/>
          <w:sz w:val="24"/>
          <w:szCs w:val="24"/>
        </w:rPr>
        <w:t>Motivation</w:t>
      </w:r>
    </w:p>
    <w:p w:rsidR="0070124A" w:rsidRPr="0070124A" w:rsidRDefault="0070124A" w:rsidP="0070124A">
      <w:pPr>
        <w:autoSpaceDE w:val="0"/>
        <w:autoSpaceDN w:val="0"/>
        <w:adjustRightInd w:val="0"/>
        <w:spacing w:before="240"/>
        <w:rPr>
          <w:rFonts w:ascii="Times New Roman" w:hAnsi="Times New Roman"/>
          <w:sz w:val="24"/>
          <w:szCs w:val="24"/>
        </w:rPr>
      </w:pPr>
      <w:r w:rsidRPr="0070124A">
        <w:rPr>
          <w:rFonts w:ascii="Times New Roman" w:hAnsi="Times New Roman"/>
          <w:sz w:val="24"/>
          <w:szCs w:val="24"/>
        </w:rPr>
        <w:t>The Adolescent Girls Employment Initiative (AGEI) in Nepal is part of a Bank-led Adolescent Girls Initiative (AGI) to promote the economic empowerment of adolescent girls and young women in five low-income and post-conflict countries (Afghanistan, Liberia, Nepal, R</w:t>
      </w:r>
      <w:r w:rsidR="008C5CB0">
        <w:rPr>
          <w:rFonts w:ascii="Times New Roman" w:hAnsi="Times New Roman"/>
          <w:sz w:val="24"/>
          <w:szCs w:val="24"/>
        </w:rPr>
        <w:t>wanda, and South Sudan). All</w:t>
      </w:r>
      <w:r w:rsidRPr="0070124A">
        <w:rPr>
          <w:rFonts w:ascii="Times New Roman" w:hAnsi="Times New Roman"/>
          <w:sz w:val="24"/>
          <w:szCs w:val="24"/>
        </w:rPr>
        <w:t xml:space="preserve"> projects in the AGI offer training and mentorship to facilitate young women’s transition to work.  They share a number of common </w:t>
      </w:r>
      <w:r w:rsidR="008C5CB0" w:rsidRPr="0070124A">
        <w:rPr>
          <w:rFonts w:ascii="Times New Roman" w:hAnsi="Times New Roman"/>
          <w:sz w:val="24"/>
          <w:szCs w:val="24"/>
        </w:rPr>
        <w:t>chara</w:t>
      </w:r>
      <w:r w:rsidR="008C5CB0">
        <w:rPr>
          <w:rFonts w:ascii="Times New Roman" w:hAnsi="Times New Roman"/>
          <w:sz w:val="24"/>
          <w:szCs w:val="24"/>
        </w:rPr>
        <w:t>c</w:t>
      </w:r>
      <w:r w:rsidR="008C5CB0" w:rsidRPr="0070124A">
        <w:rPr>
          <w:rFonts w:ascii="Times New Roman" w:hAnsi="Times New Roman"/>
          <w:sz w:val="24"/>
          <w:szCs w:val="24"/>
        </w:rPr>
        <w:t>teristics</w:t>
      </w:r>
      <w:r w:rsidRPr="0070124A">
        <w:rPr>
          <w:rFonts w:ascii="Times New Roman" w:hAnsi="Times New Roman"/>
          <w:sz w:val="24"/>
          <w:szCs w:val="24"/>
        </w:rPr>
        <w:t xml:space="preserve">, including modest budgets, designs to sustainably increase women’s economic participation, and rigorous impact evaluations. These programs are seen as pilots in which to promote new and innovative approaches, measure the results, and provide evidence for possible scaling-up of similar interventions in the future. </w:t>
      </w:r>
    </w:p>
    <w:p w:rsidR="00A621FE" w:rsidRDefault="00A621FE" w:rsidP="00D777A2">
      <w:pPr>
        <w:autoSpaceDE w:val="0"/>
        <w:autoSpaceDN w:val="0"/>
        <w:adjustRightInd w:val="0"/>
        <w:spacing w:after="0"/>
        <w:rPr>
          <w:rFonts w:ascii="Times New Roman" w:hAnsi="Times New Roman"/>
          <w:sz w:val="24"/>
          <w:szCs w:val="24"/>
        </w:rPr>
      </w:pPr>
    </w:p>
    <w:p w:rsidR="00C17381" w:rsidRDefault="0070124A" w:rsidP="00C17381">
      <w:pPr>
        <w:spacing w:after="0"/>
        <w:jc w:val="both"/>
        <w:rPr>
          <w:rFonts w:ascii="Times New Roman" w:hAnsi="Times New Roman"/>
          <w:sz w:val="24"/>
          <w:szCs w:val="24"/>
        </w:rPr>
      </w:pPr>
      <w:r w:rsidRPr="00E65025">
        <w:rPr>
          <w:rFonts w:ascii="Times New Roman" w:hAnsi="Times New Roman"/>
          <w:sz w:val="24"/>
          <w:szCs w:val="24"/>
        </w:rPr>
        <w:t xml:space="preserve">Because the evidence on what works in facilitating the transition of adolescent girls and young women to productive work is </w:t>
      </w:r>
      <w:r>
        <w:rPr>
          <w:rFonts w:ascii="Times New Roman" w:hAnsi="Times New Roman"/>
          <w:sz w:val="24"/>
          <w:szCs w:val="24"/>
        </w:rPr>
        <w:t>limited</w:t>
      </w:r>
      <w:r w:rsidRPr="00E65025">
        <w:rPr>
          <w:rFonts w:ascii="Times New Roman" w:hAnsi="Times New Roman"/>
          <w:sz w:val="24"/>
          <w:szCs w:val="24"/>
        </w:rPr>
        <w:t>, impact evaluations are an essential part of this initiative. The impact evaluations of all AGI projects will rely on rigorous methods to measure the effects of the training and life</w:t>
      </w:r>
      <w:r>
        <w:rPr>
          <w:rFonts w:ascii="Times New Roman" w:hAnsi="Times New Roman"/>
          <w:sz w:val="24"/>
          <w:szCs w:val="24"/>
        </w:rPr>
        <w:t xml:space="preserve"> </w:t>
      </w:r>
      <w:r w:rsidRPr="00E65025">
        <w:rPr>
          <w:rFonts w:ascii="Times New Roman" w:hAnsi="Times New Roman"/>
          <w:sz w:val="24"/>
          <w:szCs w:val="24"/>
        </w:rPr>
        <w:t>skills programs on the socio-economic well-being of young women and their households. At the end of the three year initiative, a core set of indicators as well as lessons learned will have been developed across countries, providing valuable evidence as to what works, and for whom, for promoting the economic empowerment of young women.</w:t>
      </w:r>
    </w:p>
    <w:p w:rsidR="0070124A" w:rsidRPr="00C17381" w:rsidRDefault="0070124A" w:rsidP="00C17381">
      <w:pPr>
        <w:spacing w:after="0"/>
        <w:jc w:val="both"/>
        <w:rPr>
          <w:rFonts w:ascii="Times New Roman" w:hAnsi="Times New Roman"/>
          <w:b/>
          <w:sz w:val="24"/>
          <w:szCs w:val="24"/>
        </w:rPr>
      </w:pPr>
    </w:p>
    <w:p w:rsidR="00DB5254" w:rsidRPr="00C17381" w:rsidRDefault="0070124A" w:rsidP="00DB5254">
      <w:pPr>
        <w:pStyle w:val="ListParagraph"/>
        <w:numPr>
          <w:ilvl w:val="0"/>
          <w:numId w:val="10"/>
        </w:numPr>
        <w:spacing w:after="0"/>
        <w:jc w:val="both"/>
        <w:rPr>
          <w:rFonts w:ascii="Times New Roman" w:hAnsi="Times New Roman"/>
          <w:b/>
          <w:sz w:val="24"/>
          <w:szCs w:val="24"/>
        </w:rPr>
      </w:pPr>
      <w:r>
        <w:rPr>
          <w:rFonts w:ascii="Times New Roman" w:hAnsi="Times New Roman"/>
          <w:b/>
          <w:sz w:val="24"/>
          <w:szCs w:val="24"/>
        </w:rPr>
        <w:t xml:space="preserve">Background on the AGEI </w:t>
      </w:r>
    </w:p>
    <w:p w:rsidR="003C631A" w:rsidRPr="00C17381" w:rsidRDefault="003C631A" w:rsidP="003C631A">
      <w:pPr>
        <w:spacing w:after="0"/>
        <w:jc w:val="both"/>
        <w:rPr>
          <w:rFonts w:ascii="Times New Roman" w:hAnsi="Times New Roman"/>
          <w:b/>
          <w:sz w:val="24"/>
          <w:szCs w:val="24"/>
        </w:rPr>
      </w:pPr>
    </w:p>
    <w:p w:rsidR="002A489D" w:rsidRDefault="0070124A" w:rsidP="0070124A">
      <w:pPr>
        <w:spacing w:after="0"/>
        <w:jc w:val="both"/>
        <w:rPr>
          <w:rFonts w:ascii="Times New Roman" w:hAnsi="Times New Roman"/>
          <w:sz w:val="24"/>
          <w:szCs w:val="24"/>
        </w:rPr>
      </w:pPr>
      <w:r>
        <w:rPr>
          <w:rFonts w:ascii="Times New Roman" w:hAnsi="Times New Roman"/>
          <w:sz w:val="24"/>
          <w:szCs w:val="24"/>
        </w:rPr>
        <w:t xml:space="preserve">The AGEI in Nepal will build upon and strengthen an </w:t>
      </w:r>
      <w:r w:rsidRPr="0071198E">
        <w:rPr>
          <w:rFonts w:ascii="Times New Roman" w:hAnsi="Times New Roman"/>
          <w:sz w:val="24"/>
          <w:szCs w:val="24"/>
        </w:rPr>
        <w:t xml:space="preserve">existing model for training and job placement currently being implemented by the Employment Fund (EF). </w:t>
      </w:r>
      <w:r w:rsidR="002A489D" w:rsidRPr="002A489D">
        <w:rPr>
          <w:rFonts w:ascii="Times New Roman" w:hAnsi="Times New Roman"/>
          <w:sz w:val="24"/>
          <w:szCs w:val="24"/>
        </w:rPr>
        <w:t xml:space="preserve">The EF operates through private training providers that are considered “franchisees” of the EF.  </w:t>
      </w:r>
      <w:r w:rsidR="002A489D">
        <w:rPr>
          <w:rFonts w:ascii="Times New Roman" w:hAnsi="Times New Roman"/>
          <w:sz w:val="24"/>
          <w:szCs w:val="24"/>
        </w:rPr>
        <w:t xml:space="preserve">The EF screens proposals from private training providers on a rolling basis, approving and funding training courses </w:t>
      </w:r>
      <w:r w:rsidR="00B7504D">
        <w:rPr>
          <w:rFonts w:ascii="Times New Roman" w:hAnsi="Times New Roman"/>
          <w:sz w:val="24"/>
          <w:szCs w:val="24"/>
        </w:rPr>
        <w:t>as needed</w:t>
      </w:r>
      <w:r w:rsidR="002A489D" w:rsidRPr="002A489D">
        <w:rPr>
          <w:rFonts w:ascii="Times New Roman" w:hAnsi="Times New Roman"/>
          <w:sz w:val="24"/>
          <w:szCs w:val="24"/>
        </w:rPr>
        <w:t xml:space="preserve">. </w:t>
      </w:r>
      <w:r w:rsidR="00B7504D">
        <w:rPr>
          <w:rFonts w:ascii="Times New Roman" w:hAnsi="Times New Roman"/>
          <w:sz w:val="24"/>
          <w:szCs w:val="24"/>
        </w:rPr>
        <w:t>Training providers must</w:t>
      </w:r>
      <w:r w:rsidR="00B7504D" w:rsidRPr="00C17381">
        <w:rPr>
          <w:rFonts w:ascii="Times New Roman" w:hAnsi="Times New Roman"/>
          <w:sz w:val="24"/>
          <w:szCs w:val="24"/>
        </w:rPr>
        <w:t xml:space="preserve"> </w:t>
      </w:r>
      <w:r w:rsidR="00B7504D">
        <w:rPr>
          <w:rFonts w:ascii="Times New Roman" w:hAnsi="Times New Roman"/>
          <w:sz w:val="24"/>
          <w:szCs w:val="24"/>
        </w:rPr>
        <w:t>demonstrate that their proposed trades are</w:t>
      </w:r>
      <w:r w:rsidR="00B7504D" w:rsidRPr="00C17381">
        <w:rPr>
          <w:rFonts w:ascii="Times New Roman" w:hAnsi="Times New Roman"/>
          <w:sz w:val="24"/>
          <w:szCs w:val="24"/>
        </w:rPr>
        <w:t xml:space="preserve"> in demand in particular markets</w:t>
      </w:r>
      <w:r w:rsidR="00B7504D">
        <w:rPr>
          <w:rFonts w:ascii="Times New Roman" w:hAnsi="Times New Roman"/>
          <w:sz w:val="24"/>
          <w:szCs w:val="24"/>
        </w:rPr>
        <w:t xml:space="preserve"> through the use of rapid market assessments</w:t>
      </w:r>
      <w:r w:rsidR="00B7504D" w:rsidRPr="00C17381">
        <w:rPr>
          <w:rFonts w:ascii="Times New Roman" w:hAnsi="Times New Roman"/>
          <w:sz w:val="24"/>
          <w:szCs w:val="24"/>
        </w:rPr>
        <w:t xml:space="preserve">; </w:t>
      </w:r>
      <w:r w:rsidR="00B7504D">
        <w:rPr>
          <w:rFonts w:ascii="Times New Roman" w:hAnsi="Times New Roman"/>
          <w:sz w:val="24"/>
          <w:szCs w:val="24"/>
        </w:rPr>
        <w:t xml:space="preserve">hence, </w:t>
      </w:r>
      <w:r w:rsidR="00B7504D" w:rsidRPr="00C17381">
        <w:rPr>
          <w:rFonts w:ascii="Times New Roman" w:hAnsi="Times New Roman"/>
          <w:sz w:val="24"/>
          <w:szCs w:val="24"/>
        </w:rPr>
        <w:t>the</w:t>
      </w:r>
      <w:r w:rsidR="00B7504D">
        <w:rPr>
          <w:rFonts w:ascii="Times New Roman" w:hAnsi="Times New Roman"/>
          <w:sz w:val="24"/>
          <w:szCs w:val="24"/>
        </w:rPr>
        <w:t xml:space="preserve"> EF does</w:t>
      </w:r>
      <w:r w:rsidR="00B7504D" w:rsidRPr="00C17381">
        <w:rPr>
          <w:rFonts w:ascii="Times New Roman" w:hAnsi="Times New Roman"/>
          <w:sz w:val="24"/>
          <w:szCs w:val="24"/>
        </w:rPr>
        <w:t xml:space="preserve"> not prescribe</w:t>
      </w:r>
      <w:r w:rsidR="00B7504D">
        <w:rPr>
          <w:rFonts w:ascii="Times New Roman" w:hAnsi="Times New Roman"/>
          <w:sz w:val="24"/>
          <w:szCs w:val="24"/>
        </w:rPr>
        <w:t xml:space="preserve"> the </w:t>
      </w:r>
      <w:r w:rsidR="00B7504D" w:rsidRPr="00C17381">
        <w:rPr>
          <w:rFonts w:ascii="Times New Roman" w:hAnsi="Times New Roman"/>
          <w:sz w:val="24"/>
          <w:szCs w:val="24"/>
        </w:rPr>
        <w:t>trades</w:t>
      </w:r>
      <w:r w:rsidR="0074007D">
        <w:rPr>
          <w:rFonts w:ascii="Times New Roman" w:hAnsi="Times New Roman"/>
          <w:sz w:val="24"/>
          <w:szCs w:val="24"/>
        </w:rPr>
        <w:t xml:space="preserve">, </w:t>
      </w:r>
      <w:r w:rsidR="00B7504D">
        <w:rPr>
          <w:rFonts w:ascii="Times New Roman" w:hAnsi="Times New Roman"/>
          <w:sz w:val="24"/>
          <w:szCs w:val="24"/>
        </w:rPr>
        <w:t>the geographical locations</w:t>
      </w:r>
      <w:r w:rsidR="0074007D">
        <w:rPr>
          <w:rFonts w:ascii="Times New Roman" w:hAnsi="Times New Roman"/>
          <w:sz w:val="24"/>
          <w:szCs w:val="24"/>
        </w:rPr>
        <w:t>, or the size</w:t>
      </w:r>
      <w:r w:rsidR="00B7504D">
        <w:rPr>
          <w:rFonts w:ascii="Times New Roman" w:hAnsi="Times New Roman"/>
          <w:sz w:val="24"/>
          <w:szCs w:val="24"/>
        </w:rPr>
        <w:t xml:space="preserve"> of training courses</w:t>
      </w:r>
      <w:r w:rsidR="00B7504D" w:rsidRPr="00C17381">
        <w:rPr>
          <w:rFonts w:ascii="Times New Roman" w:hAnsi="Times New Roman"/>
          <w:sz w:val="24"/>
          <w:szCs w:val="24"/>
        </w:rPr>
        <w:t>.</w:t>
      </w:r>
      <w:r w:rsidR="00B7504D">
        <w:rPr>
          <w:rFonts w:ascii="Times New Roman" w:hAnsi="Times New Roman"/>
          <w:sz w:val="24"/>
          <w:szCs w:val="24"/>
        </w:rPr>
        <w:t xml:space="preserve"> Training providers have strong incentives to identify employment opportunities for their trainees, as the EF makes full p</w:t>
      </w:r>
      <w:r w:rsidR="002A489D">
        <w:rPr>
          <w:rFonts w:ascii="Times New Roman" w:hAnsi="Times New Roman"/>
          <w:sz w:val="24"/>
          <w:szCs w:val="24"/>
        </w:rPr>
        <w:t xml:space="preserve">ayment to these training </w:t>
      </w:r>
      <w:r w:rsidR="002A489D" w:rsidRPr="002A489D">
        <w:rPr>
          <w:rFonts w:ascii="Times New Roman" w:hAnsi="Times New Roman"/>
          <w:sz w:val="24"/>
          <w:szCs w:val="24"/>
        </w:rPr>
        <w:t xml:space="preserve">providers only after 80% of the training participants have been employed </w:t>
      </w:r>
      <w:r w:rsidR="00B7504D">
        <w:rPr>
          <w:rFonts w:ascii="Times New Roman" w:hAnsi="Times New Roman"/>
          <w:sz w:val="24"/>
          <w:szCs w:val="24"/>
        </w:rPr>
        <w:t>for a minimum of</w:t>
      </w:r>
      <w:r w:rsidR="002A489D" w:rsidRPr="002A489D">
        <w:rPr>
          <w:rFonts w:ascii="Times New Roman" w:hAnsi="Times New Roman"/>
          <w:sz w:val="24"/>
          <w:szCs w:val="24"/>
        </w:rPr>
        <w:t xml:space="preserve"> six months.</w:t>
      </w:r>
      <w:r w:rsidR="00B7504D">
        <w:rPr>
          <w:rFonts w:ascii="Times New Roman" w:hAnsi="Times New Roman"/>
          <w:sz w:val="24"/>
          <w:szCs w:val="24"/>
        </w:rPr>
        <w:t xml:space="preserve"> The </w:t>
      </w:r>
      <w:r w:rsidR="0074007D">
        <w:rPr>
          <w:rFonts w:ascii="Times New Roman" w:hAnsi="Times New Roman"/>
          <w:sz w:val="24"/>
          <w:szCs w:val="24"/>
        </w:rPr>
        <w:t xml:space="preserve">choice of the EF as the implementing agency for the AGEI was based on its strong track record of implementing this unique model of job training and placement. The EF currently serves youth of both sexes aged 18-35. </w:t>
      </w:r>
    </w:p>
    <w:p w:rsidR="002A489D" w:rsidRDefault="002A489D" w:rsidP="0070124A">
      <w:pPr>
        <w:spacing w:after="0"/>
        <w:jc w:val="both"/>
        <w:rPr>
          <w:rFonts w:ascii="Times New Roman" w:hAnsi="Times New Roman"/>
          <w:sz w:val="24"/>
          <w:szCs w:val="24"/>
        </w:rPr>
      </w:pPr>
    </w:p>
    <w:p w:rsidR="0070124A" w:rsidRDefault="0070124A" w:rsidP="0070124A">
      <w:pPr>
        <w:spacing w:after="0"/>
        <w:jc w:val="both"/>
        <w:rPr>
          <w:rFonts w:ascii="Times New Roman" w:hAnsi="Times New Roman"/>
          <w:sz w:val="24"/>
          <w:szCs w:val="24"/>
        </w:rPr>
      </w:pPr>
      <w:r w:rsidRPr="0071198E">
        <w:rPr>
          <w:rFonts w:ascii="Times New Roman" w:hAnsi="Times New Roman"/>
          <w:sz w:val="24"/>
          <w:szCs w:val="24"/>
        </w:rPr>
        <w:lastRenderedPageBreak/>
        <w:t>The</w:t>
      </w:r>
      <w:r w:rsidRPr="00E65025">
        <w:rPr>
          <w:rFonts w:ascii="Times New Roman" w:hAnsi="Times New Roman"/>
          <w:sz w:val="24"/>
          <w:szCs w:val="24"/>
        </w:rPr>
        <w:t xml:space="preserve"> </w:t>
      </w:r>
      <w:r w:rsidRPr="00C17381">
        <w:rPr>
          <w:rFonts w:ascii="Times New Roman" w:hAnsi="Times New Roman"/>
          <w:sz w:val="24"/>
          <w:szCs w:val="24"/>
        </w:rPr>
        <w:t xml:space="preserve">AGEI </w:t>
      </w:r>
      <w:r w:rsidR="00E32AF7">
        <w:rPr>
          <w:rFonts w:ascii="Times New Roman" w:hAnsi="Times New Roman"/>
          <w:sz w:val="24"/>
          <w:szCs w:val="24"/>
        </w:rPr>
        <w:t xml:space="preserve">will adapt the current EF model to </w:t>
      </w:r>
      <w:r w:rsidR="0074007D">
        <w:rPr>
          <w:rFonts w:ascii="Times New Roman" w:hAnsi="Times New Roman"/>
          <w:sz w:val="24"/>
          <w:szCs w:val="24"/>
        </w:rPr>
        <w:t xml:space="preserve">specifically </w:t>
      </w:r>
      <w:r w:rsidR="00E32AF7">
        <w:rPr>
          <w:rFonts w:ascii="Times New Roman" w:hAnsi="Times New Roman"/>
          <w:sz w:val="24"/>
          <w:szCs w:val="24"/>
        </w:rPr>
        <w:t>target</w:t>
      </w:r>
      <w:r w:rsidRPr="00C17381">
        <w:rPr>
          <w:rFonts w:ascii="Times New Roman" w:hAnsi="Times New Roman"/>
          <w:sz w:val="24"/>
          <w:szCs w:val="24"/>
        </w:rPr>
        <w:t xml:space="preserve"> disadvantaged young women </w:t>
      </w:r>
      <w:r w:rsidR="00B7504D">
        <w:rPr>
          <w:rFonts w:ascii="Times New Roman" w:hAnsi="Times New Roman"/>
          <w:sz w:val="24"/>
          <w:szCs w:val="24"/>
        </w:rPr>
        <w:t xml:space="preserve">aged 16-24 </w:t>
      </w:r>
      <w:r w:rsidRPr="00C17381">
        <w:rPr>
          <w:rFonts w:ascii="Times New Roman" w:hAnsi="Times New Roman"/>
          <w:sz w:val="24"/>
          <w:szCs w:val="24"/>
        </w:rPr>
        <w:t xml:space="preserve">who are constrained by social and </w:t>
      </w:r>
      <w:r w:rsidR="00E32AF7">
        <w:rPr>
          <w:rFonts w:ascii="Times New Roman" w:hAnsi="Times New Roman"/>
          <w:sz w:val="24"/>
          <w:szCs w:val="24"/>
        </w:rPr>
        <w:t xml:space="preserve">economic </w:t>
      </w:r>
      <w:r w:rsidRPr="00C17381">
        <w:rPr>
          <w:rFonts w:ascii="Times New Roman" w:hAnsi="Times New Roman"/>
          <w:sz w:val="24"/>
          <w:szCs w:val="24"/>
        </w:rPr>
        <w:t xml:space="preserve">barriers to </w:t>
      </w:r>
      <w:r w:rsidR="00E32AF7">
        <w:rPr>
          <w:rFonts w:ascii="Times New Roman" w:hAnsi="Times New Roman"/>
          <w:sz w:val="24"/>
          <w:szCs w:val="24"/>
        </w:rPr>
        <w:t>enter</w:t>
      </w:r>
      <w:r w:rsidRPr="00C17381">
        <w:rPr>
          <w:rFonts w:ascii="Times New Roman" w:hAnsi="Times New Roman"/>
          <w:sz w:val="24"/>
          <w:szCs w:val="24"/>
        </w:rPr>
        <w:t xml:space="preserve"> the labor market.  To facilitate their participation in the program and subsequent entry into the labor market, the project will develop and test a special outreach-and-communication strategy. Furthermore, the project will include an enhanced </w:t>
      </w:r>
      <w:r w:rsidR="0020728A">
        <w:rPr>
          <w:rFonts w:ascii="Times New Roman" w:hAnsi="Times New Roman"/>
          <w:sz w:val="24"/>
          <w:szCs w:val="24"/>
        </w:rPr>
        <w:t>life skills</w:t>
      </w:r>
      <w:r w:rsidRPr="00C17381">
        <w:rPr>
          <w:rFonts w:ascii="Times New Roman" w:hAnsi="Times New Roman"/>
          <w:sz w:val="24"/>
          <w:szCs w:val="24"/>
        </w:rPr>
        <w:t xml:space="preserve"> curriculum to address the </w:t>
      </w:r>
      <w:r w:rsidR="00E32AF7">
        <w:rPr>
          <w:rFonts w:ascii="Times New Roman" w:hAnsi="Times New Roman"/>
          <w:sz w:val="24"/>
          <w:szCs w:val="24"/>
        </w:rPr>
        <w:t>particular</w:t>
      </w:r>
      <w:r w:rsidRPr="00C17381">
        <w:rPr>
          <w:rFonts w:ascii="Times New Roman" w:hAnsi="Times New Roman"/>
          <w:sz w:val="24"/>
          <w:szCs w:val="24"/>
        </w:rPr>
        <w:t xml:space="preserve"> </w:t>
      </w:r>
      <w:r w:rsidR="00E32AF7">
        <w:rPr>
          <w:rFonts w:ascii="Times New Roman" w:hAnsi="Times New Roman"/>
          <w:sz w:val="24"/>
          <w:szCs w:val="24"/>
        </w:rPr>
        <w:t xml:space="preserve">learning </w:t>
      </w:r>
      <w:r w:rsidRPr="00C17381">
        <w:rPr>
          <w:rFonts w:ascii="Times New Roman" w:hAnsi="Times New Roman"/>
          <w:sz w:val="24"/>
          <w:szCs w:val="24"/>
        </w:rPr>
        <w:t xml:space="preserve">needs of young women in </w:t>
      </w:r>
      <w:r w:rsidRPr="002A489D">
        <w:rPr>
          <w:rFonts w:ascii="Times New Roman" w:hAnsi="Times New Roman"/>
          <w:sz w:val="24"/>
          <w:szCs w:val="24"/>
        </w:rPr>
        <w:t xml:space="preserve">addition to providing the basic technical skill-oriented training that the EF already offers to all its trainees. </w:t>
      </w:r>
      <w:r w:rsidR="00B7504D">
        <w:rPr>
          <w:rFonts w:ascii="Times New Roman" w:hAnsi="Times New Roman"/>
          <w:sz w:val="24"/>
          <w:szCs w:val="24"/>
        </w:rPr>
        <w:t xml:space="preserve">This life skills curriculum will assist young women to build self-confidence, communication skills, and social networks of other young women who can provide support as they embark on their careers. The program will also provide instruction on reproductive health issues and STI prevention to help the trainees avoid risky behaviors. </w:t>
      </w:r>
    </w:p>
    <w:p w:rsidR="00E32AF7" w:rsidRDefault="00E32AF7" w:rsidP="0070124A">
      <w:pPr>
        <w:spacing w:after="0"/>
        <w:jc w:val="both"/>
        <w:rPr>
          <w:rFonts w:ascii="Times New Roman" w:hAnsi="Times New Roman"/>
          <w:sz w:val="24"/>
          <w:szCs w:val="24"/>
        </w:rPr>
      </w:pPr>
    </w:p>
    <w:p w:rsidR="008563C1" w:rsidRPr="00C17381" w:rsidRDefault="0070124A" w:rsidP="003C631A">
      <w:pPr>
        <w:spacing w:after="0"/>
        <w:jc w:val="both"/>
        <w:rPr>
          <w:rFonts w:ascii="Times New Roman" w:hAnsi="Times New Roman"/>
          <w:sz w:val="24"/>
          <w:szCs w:val="24"/>
        </w:rPr>
      </w:pPr>
      <w:r w:rsidRPr="00E65025">
        <w:rPr>
          <w:rFonts w:ascii="Times New Roman" w:hAnsi="Times New Roman"/>
          <w:sz w:val="24"/>
          <w:szCs w:val="24"/>
        </w:rPr>
        <w:t>By combining technical skills training, a life skills curriculum, and job placement focusing on disadvantaged women, and using a demand-driven process for identifying the trades, this program goes far beyond more traditional youth employment programs which focus narrowly on skills training in predetermined areas and tend to attract male participants</w:t>
      </w:r>
      <w:r>
        <w:rPr>
          <w:rFonts w:ascii="Times New Roman" w:hAnsi="Times New Roman"/>
          <w:sz w:val="24"/>
          <w:szCs w:val="24"/>
        </w:rPr>
        <w:t>. Given the unique  and innovative nature of this model, along with the increased call for measuring results among the Bank and other donors, it will be essential to rigorously assess the AGEI program’s impacts in order to  provide justification for scale-up and draw lessons learned for this and other contexts.</w:t>
      </w:r>
    </w:p>
    <w:p w:rsidR="0070124A" w:rsidRDefault="0070124A" w:rsidP="003C631A">
      <w:pPr>
        <w:spacing w:after="0"/>
        <w:jc w:val="both"/>
        <w:rPr>
          <w:rFonts w:ascii="Times New Roman" w:hAnsi="Times New Roman"/>
          <w:sz w:val="24"/>
          <w:szCs w:val="24"/>
        </w:rPr>
      </w:pPr>
    </w:p>
    <w:p w:rsidR="00527D12" w:rsidRPr="00FA0135" w:rsidRDefault="0070124A" w:rsidP="003C631A">
      <w:pPr>
        <w:spacing w:after="0"/>
        <w:jc w:val="both"/>
        <w:rPr>
          <w:rFonts w:ascii="Times New Roman" w:hAnsi="Times New Roman"/>
          <w:sz w:val="24"/>
          <w:szCs w:val="24"/>
        </w:rPr>
      </w:pPr>
      <w:r w:rsidRPr="00E65025">
        <w:rPr>
          <w:rFonts w:ascii="Times New Roman" w:hAnsi="Times New Roman"/>
          <w:sz w:val="24"/>
          <w:szCs w:val="24"/>
        </w:rPr>
        <w:t xml:space="preserve">As with the other AGI projects, the impact evaluation of the AGEI will be designed and implemented through Bank-executed resources independently of the rest of the project. Local and international consultants will be contracted to implement the data collection effort. This will ensure that the evaluation is </w:t>
      </w:r>
      <w:r>
        <w:rPr>
          <w:rFonts w:ascii="Times New Roman" w:hAnsi="Times New Roman"/>
          <w:sz w:val="24"/>
          <w:szCs w:val="24"/>
        </w:rPr>
        <w:t>independent</w:t>
      </w:r>
      <w:r w:rsidRPr="00E65025">
        <w:rPr>
          <w:rFonts w:ascii="Times New Roman" w:hAnsi="Times New Roman"/>
          <w:sz w:val="24"/>
          <w:szCs w:val="24"/>
        </w:rPr>
        <w:t xml:space="preserve"> and also that the evaluation does not draw resources away from project implementation.</w:t>
      </w:r>
    </w:p>
    <w:p w:rsidR="00B1705D" w:rsidRPr="00C17381" w:rsidRDefault="00B1705D" w:rsidP="003C631A">
      <w:pPr>
        <w:spacing w:after="0"/>
        <w:jc w:val="both"/>
        <w:rPr>
          <w:rFonts w:ascii="Times New Roman" w:hAnsi="Times New Roman"/>
          <w:b/>
          <w:sz w:val="24"/>
          <w:szCs w:val="24"/>
        </w:rPr>
      </w:pPr>
    </w:p>
    <w:p w:rsidR="00652988" w:rsidRDefault="00DB5254" w:rsidP="003C631A">
      <w:pPr>
        <w:pStyle w:val="ListParagraph"/>
        <w:numPr>
          <w:ilvl w:val="0"/>
          <w:numId w:val="10"/>
        </w:numPr>
        <w:spacing w:after="0"/>
        <w:jc w:val="both"/>
        <w:rPr>
          <w:rFonts w:ascii="Times New Roman" w:hAnsi="Times New Roman"/>
          <w:b/>
          <w:sz w:val="24"/>
          <w:szCs w:val="24"/>
        </w:rPr>
      </w:pPr>
      <w:r w:rsidRPr="00C17381">
        <w:rPr>
          <w:rFonts w:ascii="Times New Roman" w:hAnsi="Times New Roman"/>
          <w:b/>
          <w:sz w:val="24"/>
          <w:szCs w:val="24"/>
        </w:rPr>
        <w:t>Evaluation Questions and Indicators</w:t>
      </w:r>
    </w:p>
    <w:p w:rsidR="003C3ED1" w:rsidRPr="00856632" w:rsidRDefault="003C3ED1" w:rsidP="00856632">
      <w:pPr>
        <w:spacing w:after="0"/>
        <w:jc w:val="both"/>
        <w:rPr>
          <w:rFonts w:ascii="Times New Roman" w:hAnsi="Times New Roman"/>
          <w:b/>
          <w:sz w:val="24"/>
          <w:szCs w:val="24"/>
        </w:rPr>
      </w:pPr>
    </w:p>
    <w:p w:rsidR="00605AD0" w:rsidRPr="00FA0135" w:rsidRDefault="00FA0135" w:rsidP="00605AD0">
      <w:pPr>
        <w:jc w:val="both"/>
        <w:rPr>
          <w:rFonts w:ascii="Times New Roman" w:hAnsi="Times New Roman"/>
          <w:sz w:val="24"/>
          <w:szCs w:val="24"/>
        </w:rPr>
      </w:pPr>
      <w:r>
        <w:rPr>
          <w:rFonts w:ascii="Times New Roman" w:hAnsi="Times New Roman"/>
          <w:sz w:val="24"/>
          <w:szCs w:val="24"/>
        </w:rPr>
        <w:t xml:space="preserve">The goal of the evaluation is to identify the impact of the </w:t>
      </w:r>
      <w:r w:rsidR="00556BC7">
        <w:rPr>
          <w:rFonts w:ascii="Times New Roman" w:hAnsi="Times New Roman"/>
          <w:sz w:val="24"/>
          <w:szCs w:val="24"/>
        </w:rPr>
        <w:t>AGEI</w:t>
      </w:r>
      <w:r w:rsidR="00652988">
        <w:rPr>
          <w:rFonts w:ascii="Times New Roman" w:hAnsi="Times New Roman"/>
          <w:sz w:val="24"/>
          <w:szCs w:val="24"/>
        </w:rPr>
        <w:t xml:space="preserve"> program</w:t>
      </w:r>
      <w:r>
        <w:rPr>
          <w:rFonts w:ascii="Times New Roman" w:hAnsi="Times New Roman"/>
          <w:sz w:val="24"/>
          <w:szCs w:val="24"/>
        </w:rPr>
        <w:t xml:space="preserve"> on the </w:t>
      </w:r>
      <w:r w:rsidR="00605AD0">
        <w:rPr>
          <w:rFonts w:ascii="Times New Roman" w:hAnsi="Times New Roman"/>
          <w:sz w:val="24"/>
          <w:szCs w:val="24"/>
        </w:rPr>
        <w:t xml:space="preserve">subjective and objective </w:t>
      </w:r>
      <w:r>
        <w:rPr>
          <w:rFonts w:ascii="Times New Roman" w:hAnsi="Times New Roman"/>
          <w:sz w:val="24"/>
          <w:szCs w:val="24"/>
        </w:rPr>
        <w:t>well-being</w:t>
      </w:r>
      <w:r w:rsidR="00605AD0">
        <w:rPr>
          <w:rFonts w:ascii="Times New Roman" w:hAnsi="Times New Roman"/>
          <w:sz w:val="24"/>
          <w:szCs w:val="24"/>
        </w:rPr>
        <w:t xml:space="preserve"> </w:t>
      </w:r>
      <w:r>
        <w:rPr>
          <w:rFonts w:ascii="Times New Roman" w:hAnsi="Times New Roman"/>
          <w:sz w:val="24"/>
          <w:szCs w:val="24"/>
        </w:rPr>
        <w:t xml:space="preserve">of program participants. </w:t>
      </w:r>
      <w:r w:rsidR="00605AD0">
        <w:rPr>
          <w:rFonts w:ascii="Times New Roman" w:hAnsi="Times New Roman"/>
          <w:sz w:val="24"/>
          <w:szCs w:val="24"/>
        </w:rPr>
        <w:t xml:space="preserve">The well-being of program participants will be measured through specific indicators of interest and </w:t>
      </w:r>
      <w:r w:rsidR="000A1777">
        <w:rPr>
          <w:rFonts w:ascii="Times New Roman" w:hAnsi="Times New Roman"/>
          <w:sz w:val="24"/>
          <w:szCs w:val="24"/>
        </w:rPr>
        <w:t>statistically compared</w:t>
      </w:r>
      <w:r w:rsidR="00605AD0">
        <w:rPr>
          <w:rFonts w:ascii="Times New Roman" w:hAnsi="Times New Roman"/>
          <w:sz w:val="24"/>
          <w:szCs w:val="24"/>
        </w:rPr>
        <w:t xml:space="preserve"> to a co</w:t>
      </w:r>
      <w:r w:rsidR="000A1777">
        <w:rPr>
          <w:rFonts w:ascii="Times New Roman" w:hAnsi="Times New Roman"/>
          <w:sz w:val="24"/>
          <w:szCs w:val="24"/>
        </w:rPr>
        <w:t>ntrol</w:t>
      </w:r>
      <w:r w:rsidR="00605AD0">
        <w:rPr>
          <w:rFonts w:ascii="Times New Roman" w:hAnsi="Times New Roman"/>
          <w:sz w:val="24"/>
          <w:szCs w:val="24"/>
        </w:rPr>
        <w:t xml:space="preserve"> group </w:t>
      </w:r>
      <w:r w:rsidR="000A1777">
        <w:rPr>
          <w:rFonts w:ascii="Times New Roman" w:hAnsi="Times New Roman"/>
          <w:sz w:val="24"/>
          <w:szCs w:val="24"/>
        </w:rPr>
        <w:t xml:space="preserve">of young women with similar characteristics who have not </w:t>
      </w:r>
      <w:r w:rsidR="00605AD0">
        <w:rPr>
          <w:rFonts w:ascii="Times New Roman" w:hAnsi="Times New Roman"/>
          <w:sz w:val="24"/>
          <w:szCs w:val="24"/>
        </w:rPr>
        <w:t>participated in the program.</w:t>
      </w:r>
      <w:r w:rsidR="0074007D">
        <w:rPr>
          <w:rFonts w:ascii="Times New Roman" w:hAnsi="Times New Roman"/>
          <w:sz w:val="24"/>
          <w:szCs w:val="24"/>
        </w:rPr>
        <w:t xml:space="preserve"> </w:t>
      </w:r>
      <w:r w:rsidR="00556BC7">
        <w:rPr>
          <w:rFonts w:ascii="Times New Roman" w:hAnsi="Times New Roman"/>
          <w:sz w:val="24"/>
          <w:szCs w:val="24"/>
        </w:rPr>
        <w:t xml:space="preserve">In addition, a sample of students from the larger EF program, including males and students aged 25-35, will also be included in the impact evaluation, allowing for the examination of heterogeneous program impacts on different demographic groups. </w:t>
      </w:r>
    </w:p>
    <w:p w:rsidR="00333448" w:rsidRDefault="00333448" w:rsidP="003C631A">
      <w:pPr>
        <w:jc w:val="both"/>
        <w:rPr>
          <w:rFonts w:ascii="Times New Roman" w:hAnsi="Times New Roman"/>
          <w:sz w:val="24"/>
          <w:szCs w:val="24"/>
        </w:rPr>
      </w:pPr>
      <w:r>
        <w:rPr>
          <w:rFonts w:ascii="Times New Roman" w:hAnsi="Times New Roman"/>
          <w:sz w:val="24"/>
          <w:szCs w:val="24"/>
        </w:rPr>
        <w:t xml:space="preserve">The </w:t>
      </w:r>
      <w:r w:rsidRPr="0070124A">
        <w:rPr>
          <w:rFonts w:ascii="Times New Roman" w:hAnsi="Times New Roman"/>
          <w:b/>
          <w:i/>
          <w:sz w:val="24"/>
          <w:szCs w:val="24"/>
        </w:rPr>
        <w:t>key research questions</w:t>
      </w:r>
      <w:r>
        <w:rPr>
          <w:rFonts w:ascii="Times New Roman" w:hAnsi="Times New Roman"/>
          <w:sz w:val="24"/>
          <w:szCs w:val="24"/>
        </w:rPr>
        <w:t xml:space="preserve"> </w:t>
      </w:r>
      <w:r w:rsidR="00A621FE">
        <w:rPr>
          <w:rFonts w:ascii="Times New Roman" w:hAnsi="Times New Roman"/>
          <w:sz w:val="24"/>
          <w:szCs w:val="24"/>
        </w:rPr>
        <w:t>for the impact</w:t>
      </w:r>
      <w:r>
        <w:rPr>
          <w:rFonts w:ascii="Times New Roman" w:hAnsi="Times New Roman"/>
          <w:sz w:val="24"/>
          <w:szCs w:val="24"/>
        </w:rPr>
        <w:t xml:space="preserve"> evaluation are:</w:t>
      </w:r>
    </w:p>
    <w:p w:rsidR="00E86EF1" w:rsidRPr="00E86EF1" w:rsidRDefault="0070124A" w:rsidP="00E86EF1">
      <w:pPr>
        <w:pStyle w:val="FootnoteText"/>
        <w:numPr>
          <w:ilvl w:val="0"/>
          <w:numId w:val="19"/>
        </w:numPr>
        <w:spacing w:line="276" w:lineRule="auto"/>
        <w:jc w:val="both"/>
        <w:rPr>
          <w:sz w:val="24"/>
        </w:rPr>
      </w:pPr>
      <w:r>
        <w:rPr>
          <w:sz w:val="24"/>
        </w:rPr>
        <w:t>What is the impact of a comprehensive employment program on t</w:t>
      </w:r>
      <w:r w:rsidR="00E86EF1">
        <w:rPr>
          <w:sz w:val="24"/>
        </w:rPr>
        <w:t>he socioeconomic well-being of male and female participants aged 18-35</w:t>
      </w:r>
      <w:r>
        <w:rPr>
          <w:sz w:val="24"/>
        </w:rPr>
        <w:t xml:space="preserve">? </w:t>
      </w:r>
    </w:p>
    <w:p w:rsidR="00E86EF1" w:rsidRDefault="00E86EF1" w:rsidP="00333448">
      <w:pPr>
        <w:pStyle w:val="FootnoteText"/>
        <w:numPr>
          <w:ilvl w:val="0"/>
          <w:numId w:val="19"/>
        </w:numPr>
        <w:spacing w:before="240" w:line="276" w:lineRule="auto"/>
        <w:jc w:val="both"/>
        <w:rPr>
          <w:sz w:val="24"/>
        </w:rPr>
      </w:pPr>
      <w:r>
        <w:rPr>
          <w:sz w:val="24"/>
        </w:rPr>
        <w:lastRenderedPageBreak/>
        <w:t xml:space="preserve">What is the impact of a comprehensive employment program, combined with targeted life skills training, on the socioeconomic outcomes of young women aged 16-24? </w:t>
      </w:r>
    </w:p>
    <w:p w:rsidR="00E86EF1" w:rsidRPr="00486806" w:rsidRDefault="0070124A" w:rsidP="00486806">
      <w:pPr>
        <w:pStyle w:val="FootnoteText"/>
        <w:numPr>
          <w:ilvl w:val="0"/>
          <w:numId w:val="19"/>
        </w:numPr>
        <w:spacing w:before="240" w:line="276" w:lineRule="auto"/>
        <w:jc w:val="both"/>
        <w:rPr>
          <w:sz w:val="24"/>
        </w:rPr>
      </w:pPr>
      <w:r w:rsidRPr="00092C13">
        <w:rPr>
          <w:sz w:val="24"/>
        </w:rPr>
        <w:t xml:space="preserve">What is the impact </w:t>
      </w:r>
      <w:r w:rsidR="00E86EF1">
        <w:rPr>
          <w:sz w:val="24"/>
        </w:rPr>
        <w:t xml:space="preserve">a comprehensive employment program </w:t>
      </w:r>
      <w:r w:rsidRPr="00092C13">
        <w:rPr>
          <w:sz w:val="24"/>
        </w:rPr>
        <w:t xml:space="preserve">on </w:t>
      </w:r>
      <w:r>
        <w:rPr>
          <w:sz w:val="24"/>
        </w:rPr>
        <w:t xml:space="preserve">a wide range of </w:t>
      </w:r>
      <w:r w:rsidR="00E86EF1">
        <w:rPr>
          <w:sz w:val="24"/>
        </w:rPr>
        <w:t>social behaviors</w:t>
      </w:r>
      <w:r>
        <w:rPr>
          <w:sz w:val="24"/>
        </w:rPr>
        <w:t xml:space="preserve"> and outcomes, such as marriage and fertility, time use, control over household resources, aspirations for the future, and communication and negotiation skills? </w:t>
      </w:r>
    </w:p>
    <w:p w:rsidR="00E32AF7" w:rsidRDefault="00E32AF7" w:rsidP="00333448">
      <w:pPr>
        <w:pStyle w:val="FootnoteText"/>
        <w:numPr>
          <w:ilvl w:val="0"/>
          <w:numId w:val="19"/>
        </w:numPr>
        <w:spacing w:before="240" w:line="276" w:lineRule="auto"/>
        <w:jc w:val="both"/>
        <w:rPr>
          <w:sz w:val="24"/>
        </w:rPr>
      </w:pPr>
      <w:r>
        <w:rPr>
          <w:sz w:val="24"/>
        </w:rPr>
        <w:t xml:space="preserve">What are the characteristics of </w:t>
      </w:r>
      <w:r w:rsidR="00486806">
        <w:rPr>
          <w:sz w:val="24"/>
        </w:rPr>
        <w:t>people</w:t>
      </w:r>
      <w:r>
        <w:rPr>
          <w:sz w:val="24"/>
        </w:rPr>
        <w:t xml:space="preserve"> who succeed in this type of employment program, and what lessons can be learned for improving such programs in the future? </w:t>
      </w:r>
    </w:p>
    <w:p w:rsidR="00652988" w:rsidRDefault="00605AD0" w:rsidP="0070124A">
      <w:pPr>
        <w:spacing w:before="240" w:after="0"/>
        <w:jc w:val="both"/>
        <w:rPr>
          <w:rFonts w:ascii="Times New Roman" w:hAnsi="Times New Roman"/>
          <w:sz w:val="24"/>
          <w:szCs w:val="24"/>
        </w:rPr>
      </w:pPr>
      <w:r>
        <w:rPr>
          <w:rFonts w:ascii="Times New Roman" w:hAnsi="Times New Roman"/>
          <w:sz w:val="24"/>
          <w:szCs w:val="24"/>
        </w:rPr>
        <w:t>Data on the indicators of interest will be collected both before and after the program through individual interviews using structured questionnaires. T</w:t>
      </w:r>
      <w:r w:rsidR="00247BBC">
        <w:rPr>
          <w:rFonts w:ascii="Times New Roman" w:hAnsi="Times New Roman"/>
          <w:sz w:val="24"/>
          <w:szCs w:val="24"/>
        </w:rPr>
        <w:t xml:space="preserve">raining </w:t>
      </w:r>
      <w:r w:rsidR="00E32AF7">
        <w:rPr>
          <w:rFonts w:ascii="Times New Roman" w:hAnsi="Times New Roman"/>
          <w:sz w:val="24"/>
          <w:szCs w:val="24"/>
        </w:rPr>
        <w:t>p</w:t>
      </w:r>
      <w:r>
        <w:rPr>
          <w:rFonts w:ascii="Times New Roman" w:hAnsi="Times New Roman"/>
          <w:sz w:val="24"/>
          <w:szCs w:val="24"/>
        </w:rPr>
        <w:t xml:space="preserve">roviders will also be responsible for collecting data on some of these indicators (particularly those related to attendance and course completion). </w:t>
      </w:r>
      <w:r w:rsidR="00652988" w:rsidRPr="00652988">
        <w:rPr>
          <w:rFonts w:ascii="Times New Roman" w:hAnsi="Times New Roman"/>
          <w:sz w:val="24"/>
          <w:szCs w:val="24"/>
        </w:rPr>
        <w:t xml:space="preserve">The key indicators of interest for the AGEI </w:t>
      </w:r>
      <w:r w:rsidR="00652988">
        <w:rPr>
          <w:rFonts w:ascii="Times New Roman" w:hAnsi="Times New Roman"/>
          <w:sz w:val="24"/>
          <w:szCs w:val="24"/>
        </w:rPr>
        <w:t xml:space="preserve">program include the following: </w:t>
      </w:r>
    </w:p>
    <w:p w:rsidR="00E32AF7" w:rsidRDefault="00E32AF7" w:rsidP="0070124A">
      <w:pPr>
        <w:spacing w:after="0"/>
        <w:jc w:val="both"/>
        <w:rPr>
          <w:rFonts w:ascii="Times New Roman" w:hAnsi="Times New Roman"/>
          <w:sz w:val="24"/>
          <w:szCs w:val="24"/>
        </w:rPr>
      </w:pPr>
    </w:p>
    <w:p w:rsidR="0070124A" w:rsidRPr="00AE3787" w:rsidRDefault="0070124A" w:rsidP="00AE3787">
      <w:pPr>
        <w:pStyle w:val="ListParagraph"/>
        <w:numPr>
          <w:ilvl w:val="0"/>
          <w:numId w:val="21"/>
        </w:numPr>
        <w:spacing w:after="0"/>
        <w:jc w:val="both"/>
        <w:rPr>
          <w:rFonts w:ascii="Times New Roman" w:hAnsi="Times New Roman"/>
          <w:sz w:val="24"/>
          <w:szCs w:val="24"/>
        </w:rPr>
      </w:pPr>
      <w:r w:rsidRPr="00AE3787">
        <w:rPr>
          <w:rFonts w:ascii="Times New Roman" w:hAnsi="Times New Roman"/>
          <w:sz w:val="24"/>
          <w:szCs w:val="24"/>
        </w:rPr>
        <w:t>At the level of the applicant / participant:</w:t>
      </w:r>
      <w:r w:rsidR="00AE3787" w:rsidRPr="00AE3787">
        <w:rPr>
          <w:rFonts w:ascii="Times New Roman" w:hAnsi="Times New Roman"/>
          <w:sz w:val="24"/>
          <w:szCs w:val="24"/>
        </w:rPr>
        <w:t xml:space="preserve"> </w:t>
      </w:r>
      <w:r w:rsidR="00E32AF7" w:rsidRPr="00AE3787">
        <w:rPr>
          <w:rFonts w:ascii="Times New Roman" w:hAnsi="Times New Roman"/>
          <w:sz w:val="24"/>
          <w:szCs w:val="24"/>
        </w:rPr>
        <w:t>Basic demographic and social characteristics, including age, living arrangement</w:t>
      </w:r>
      <w:r w:rsidR="00AE3787" w:rsidRPr="00AE3787">
        <w:rPr>
          <w:rFonts w:ascii="Times New Roman" w:hAnsi="Times New Roman"/>
          <w:sz w:val="24"/>
          <w:szCs w:val="24"/>
        </w:rPr>
        <w:t xml:space="preserve">s, and childhood circumstances; </w:t>
      </w:r>
      <w:r w:rsidRPr="00AE3787">
        <w:rPr>
          <w:rFonts w:ascii="Times New Roman" w:hAnsi="Times New Roman"/>
          <w:sz w:val="24"/>
          <w:szCs w:val="24"/>
        </w:rPr>
        <w:t xml:space="preserve">Employment </w:t>
      </w:r>
      <w:r w:rsidR="002A489D" w:rsidRPr="00AE3787">
        <w:rPr>
          <w:rFonts w:ascii="Times New Roman" w:hAnsi="Times New Roman"/>
          <w:sz w:val="24"/>
          <w:szCs w:val="24"/>
        </w:rPr>
        <w:t xml:space="preserve">and/or Entrepreneurship </w:t>
      </w:r>
      <w:r w:rsidRPr="00AE3787">
        <w:rPr>
          <w:rFonts w:ascii="Times New Roman" w:hAnsi="Times New Roman"/>
          <w:sz w:val="24"/>
          <w:szCs w:val="24"/>
        </w:rPr>
        <w:t xml:space="preserve">status </w:t>
      </w:r>
      <w:r w:rsidRPr="00AE3787">
        <w:rPr>
          <w:rFonts w:ascii="Times New Roman" w:hAnsi="Times New Roman"/>
          <w:i/>
          <w:sz w:val="24"/>
          <w:szCs w:val="24"/>
        </w:rPr>
        <w:t>after</w:t>
      </w:r>
      <w:r w:rsidRPr="00AE3787">
        <w:rPr>
          <w:rFonts w:ascii="Times New Roman" w:hAnsi="Times New Roman"/>
          <w:sz w:val="24"/>
          <w:szCs w:val="24"/>
        </w:rPr>
        <w:t xml:space="preserve"> the 6 month period tracked in the project’s monitoring system</w:t>
      </w:r>
      <w:r w:rsidR="00AE3787">
        <w:rPr>
          <w:rFonts w:ascii="Times New Roman" w:hAnsi="Times New Roman"/>
          <w:sz w:val="24"/>
          <w:szCs w:val="24"/>
        </w:rPr>
        <w:t xml:space="preserve">; Job sector, wages, income; Knowledge and access to microcredit; Assets, Savings, Loans; Social assets (friends, social networks); </w:t>
      </w:r>
      <w:r w:rsidRPr="00AE3787">
        <w:rPr>
          <w:rFonts w:ascii="Times New Roman" w:hAnsi="Times New Roman"/>
          <w:sz w:val="24"/>
          <w:szCs w:val="24"/>
        </w:rPr>
        <w:t xml:space="preserve">Empowerment measures such as physical mobility, </w:t>
      </w:r>
      <w:r w:rsidR="002A489D" w:rsidRPr="00AE3787">
        <w:rPr>
          <w:rFonts w:ascii="Times New Roman" w:hAnsi="Times New Roman"/>
          <w:sz w:val="24"/>
          <w:szCs w:val="24"/>
        </w:rPr>
        <w:t>control over spending</w:t>
      </w:r>
    </w:p>
    <w:p w:rsidR="0070124A" w:rsidRPr="00652988" w:rsidRDefault="0070124A" w:rsidP="0070124A">
      <w:pPr>
        <w:pStyle w:val="ListParagraph"/>
        <w:ind w:left="1440"/>
        <w:jc w:val="both"/>
        <w:rPr>
          <w:rFonts w:ascii="Times New Roman" w:hAnsi="Times New Roman"/>
          <w:sz w:val="24"/>
          <w:szCs w:val="24"/>
        </w:rPr>
      </w:pPr>
    </w:p>
    <w:p w:rsidR="0070124A" w:rsidRPr="00AE3787" w:rsidRDefault="0070124A" w:rsidP="00AE3787">
      <w:pPr>
        <w:pStyle w:val="ListParagraph"/>
        <w:numPr>
          <w:ilvl w:val="0"/>
          <w:numId w:val="21"/>
        </w:numPr>
        <w:spacing w:after="0"/>
        <w:jc w:val="both"/>
        <w:rPr>
          <w:rFonts w:ascii="Times New Roman" w:hAnsi="Times New Roman"/>
          <w:sz w:val="24"/>
          <w:szCs w:val="24"/>
        </w:rPr>
      </w:pPr>
      <w:r w:rsidRPr="00AE3787">
        <w:rPr>
          <w:rFonts w:ascii="Times New Roman" w:hAnsi="Times New Roman"/>
          <w:sz w:val="24"/>
          <w:szCs w:val="24"/>
        </w:rPr>
        <w:t>At the</w:t>
      </w:r>
      <w:r w:rsidR="00AE3787" w:rsidRPr="00AE3787">
        <w:rPr>
          <w:rFonts w:ascii="Times New Roman" w:hAnsi="Times New Roman"/>
          <w:sz w:val="24"/>
          <w:szCs w:val="24"/>
        </w:rPr>
        <w:t xml:space="preserve"> household level: </w:t>
      </w:r>
      <w:r w:rsidRPr="00AE3787">
        <w:rPr>
          <w:rFonts w:ascii="Times New Roman" w:hAnsi="Times New Roman"/>
          <w:sz w:val="24"/>
          <w:szCs w:val="24"/>
        </w:rPr>
        <w:t>Financial and physical assets</w:t>
      </w:r>
      <w:r w:rsidR="002A489D" w:rsidRPr="00AE3787">
        <w:rPr>
          <w:rFonts w:ascii="Times New Roman" w:hAnsi="Times New Roman"/>
          <w:sz w:val="24"/>
          <w:szCs w:val="24"/>
        </w:rPr>
        <w:t xml:space="preserve"> of the household</w:t>
      </w:r>
      <w:r w:rsidR="00AE3787" w:rsidRPr="00AE3787">
        <w:rPr>
          <w:rFonts w:ascii="Times New Roman" w:hAnsi="Times New Roman"/>
          <w:sz w:val="24"/>
          <w:szCs w:val="24"/>
        </w:rPr>
        <w:t xml:space="preserve">; </w:t>
      </w:r>
      <w:r w:rsidR="00856632" w:rsidRPr="00AE3787">
        <w:rPr>
          <w:rFonts w:ascii="Times New Roman" w:hAnsi="Times New Roman"/>
          <w:sz w:val="24"/>
          <w:szCs w:val="24"/>
        </w:rPr>
        <w:t>Income-generating activities of all household members</w:t>
      </w:r>
      <w:r w:rsidR="00AE3787" w:rsidRPr="00AE3787">
        <w:rPr>
          <w:rFonts w:ascii="Times New Roman" w:hAnsi="Times New Roman"/>
          <w:sz w:val="24"/>
          <w:szCs w:val="24"/>
        </w:rPr>
        <w:t xml:space="preserve">; </w:t>
      </w:r>
      <w:r w:rsidR="002A489D" w:rsidRPr="00AE3787">
        <w:rPr>
          <w:rFonts w:ascii="Times New Roman" w:hAnsi="Times New Roman"/>
          <w:sz w:val="24"/>
          <w:szCs w:val="24"/>
        </w:rPr>
        <w:t>Household-level self-assessed food security</w:t>
      </w:r>
      <w:r w:rsidR="00AE3787" w:rsidRPr="00AE3787">
        <w:rPr>
          <w:rFonts w:ascii="Times New Roman" w:hAnsi="Times New Roman"/>
          <w:sz w:val="24"/>
          <w:szCs w:val="24"/>
        </w:rPr>
        <w:t xml:space="preserve">; </w:t>
      </w:r>
      <w:r w:rsidRPr="00AE3787">
        <w:rPr>
          <w:rFonts w:ascii="Times New Roman" w:hAnsi="Times New Roman"/>
          <w:sz w:val="24"/>
          <w:szCs w:val="24"/>
        </w:rPr>
        <w:t>Time allo</w:t>
      </w:r>
      <w:r w:rsidR="00856632" w:rsidRPr="00AE3787">
        <w:rPr>
          <w:rFonts w:ascii="Times New Roman" w:hAnsi="Times New Roman"/>
          <w:sz w:val="24"/>
          <w:szCs w:val="24"/>
        </w:rPr>
        <w:t>cation by household members to domestic tasks</w:t>
      </w:r>
      <w:r w:rsidR="00AE3787" w:rsidRPr="00AE3787">
        <w:rPr>
          <w:rFonts w:ascii="Times New Roman" w:hAnsi="Times New Roman"/>
          <w:sz w:val="24"/>
          <w:szCs w:val="24"/>
        </w:rPr>
        <w:t xml:space="preserve">; </w:t>
      </w:r>
      <w:r w:rsidRPr="00AE3787">
        <w:rPr>
          <w:rFonts w:ascii="Times New Roman" w:hAnsi="Times New Roman"/>
          <w:sz w:val="24"/>
          <w:szCs w:val="24"/>
        </w:rPr>
        <w:t xml:space="preserve">Household </w:t>
      </w:r>
      <w:r w:rsidR="002A489D" w:rsidRPr="00AE3787">
        <w:rPr>
          <w:rFonts w:ascii="Times New Roman" w:hAnsi="Times New Roman"/>
          <w:sz w:val="24"/>
          <w:szCs w:val="24"/>
        </w:rPr>
        <w:t>expenditures</w:t>
      </w:r>
      <w:r w:rsidRPr="00AE3787">
        <w:rPr>
          <w:rFonts w:ascii="Times New Roman" w:hAnsi="Times New Roman"/>
          <w:sz w:val="24"/>
          <w:szCs w:val="24"/>
        </w:rPr>
        <w:t xml:space="preserve"> on health and education</w:t>
      </w:r>
      <w:r w:rsidR="00AE3787" w:rsidRPr="00AE3787">
        <w:rPr>
          <w:rFonts w:ascii="Times New Roman" w:hAnsi="Times New Roman"/>
          <w:sz w:val="24"/>
          <w:szCs w:val="24"/>
        </w:rPr>
        <w:t xml:space="preserve">; </w:t>
      </w:r>
      <w:r w:rsidRPr="00AE3787">
        <w:rPr>
          <w:rFonts w:ascii="Times New Roman" w:hAnsi="Times New Roman"/>
          <w:sz w:val="24"/>
          <w:szCs w:val="24"/>
        </w:rPr>
        <w:t>Educational enrollment of all household members, particularly school-age children</w:t>
      </w:r>
    </w:p>
    <w:p w:rsidR="00F07C6B" w:rsidRPr="00856632" w:rsidRDefault="00F07C6B" w:rsidP="00856632">
      <w:pPr>
        <w:spacing w:after="0"/>
        <w:jc w:val="both"/>
        <w:rPr>
          <w:rFonts w:ascii="Times New Roman" w:hAnsi="Times New Roman"/>
          <w:sz w:val="24"/>
          <w:szCs w:val="24"/>
        </w:rPr>
      </w:pPr>
    </w:p>
    <w:p w:rsidR="00DB5254" w:rsidRPr="00C17381" w:rsidRDefault="00901CD4" w:rsidP="00DB5254">
      <w:pPr>
        <w:pStyle w:val="ListParagraph"/>
        <w:numPr>
          <w:ilvl w:val="0"/>
          <w:numId w:val="10"/>
        </w:numPr>
        <w:spacing w:after="0"/>
        <w:jc w:val="both"/>
        <w:rPr>
          <w:rFonts w:ascii="Times New Roman" w:hAnsi="Times New Roman"/>
          <w:b/>
          <w:sz w:val="24"/>
          <w:szCs w:val="24"/>
        </w:rPr>
      </w:pPr>
      <w:r>
        <w:rPr>
          <w:rFonts w:ascii="Times New Roman" w:hAnsi="Times New Roman"/>
          <w:b/>
          <w:sz w:val="24"/>
          <w:szCs w:val="24"/>
        </w:rPr>
        <w:t>Evaluation</w:t>
      </w:r>
      <w:r w:rsidR="00DB5254" w:rsidRPr="00C17381">
        <w:rPr>
          <w:rFonts w:ascii="Times New Roman" w:hAnsi="Times New Roman"/>
          <w:b/>
          <w:sz w:val="24"/>
          <w:szCs w:val="24"/>
        </w:rPr>
        <w:t xml:space="preserve"> Methodology</w:t>
      </w:r>
    </w:p>
    <w:p w:rsidR="007345FA" w:rsidRPr="00D83CE9" w:rsidRDefault="00A47FD9" w:rsidP="00DB5254">
      <w:pPr>
        <w:pStyle w:val="BodyText"/>
        <w:spacing w:before="240" w:after="0"/>
        <w:rPr>
          <w:rFonts w:ascii="Times New Roman" w:hAnsi="Times New Roman"/>
          <w:sz w:val="24"/>
          <w:szCs w:val="24"/>
        </w:rPr>
      </w:pPr>
      <w:r w:rsidRPr="00D83CE9">
        <w:rPr>
          <w:rFonts w:ascii="Times New Roman" w:hAnsi="Times New Roman"/>
          <w:sz w:val="24"/>
          <w:szCs w:val="24"/>
        </w:rPr>
        <w:t xml:space="preserve">The proposed design for the impact evaluation is a </w:t>
      </w:r>
      <w:r w:rsidRPr="00D83CE9">
        <w:rPr>
          <w:rFonts w:ascii="Times New Roman" w:hAnsi="Times New Roman"/>
          <w:b/>
          <w:sz w:val="24"/>
          <w:szCs w:val="24"/>
        </w:rPr>
        <w:t>Regression Discontinuity (RD)</w:t>
      </w:r>
      <w:r w:rsidRPr="00D83CE9">
        <w:rPr>
          <w:rStyle w:val="FootnoteReference"/>
          <w:rFonts w:ascii="Times New Roman" w:hAnsi="Times New Roman"/>
          <w:sz w:val="24"/>
          <w:szCs w:val="24"/>
        </w:rPr>
        <w:footnoteReference w:id="1"/>
      </w:r>
      <w:r w:rsidRPr="00D83CE9">
        <w:rPr>
          <w:rFonts w:ascii="Times New Roman" w:hAnsi="Times New Roman"/>
          <w:b/>
          <w:sz w:val="24"/>
          <w:szCs w:val="24"/>
        </w:rPr>
        <w:t xml:space="preserve"> </w:t>
      </w:r>
      <w:r w:rsidR="00247BBC" w:rsidRPr="00D83CE9">
        <w:rPr>
          <w:rFonts w:ascii="Times New Roman" w:hAnsi="Times New Roman"/>
          <w:sz w:val="24"/>
          <w:szCs w:val="24"/>
        </w:rPr>
        <w:t>comparison, in which successful applicants just above a threshold entry score are compared with unsuccessful applicants just below the threshold</w:t>
      </w:r>
      <w:r w:rsidR="002A489D">
        <w:rPr>
          <w:rFonts w:ascii="Times New Roman" w:hAnsi="Times New Roman"/>
          <w:sz w:val="24"/>
          <w:szCs w:val="24"/>
        </w:rPr>
        <w:t>.</w:t>
      </w:r>
      <w:r w:rsidR="00247BBC" w:rsidRPr="00D83CE9">
        <w:rPr>
          <w:rFonts w:ascii="Times New Roman" w:hAnsi="Times New Roman"/>
          <w:sz w:val="24"/>
          <w:szCs w:val="24"/>
        </w:rPr>
        <w:t xml:space="preserve"> </w:t>
      </w:r>
      <w:r w:rsidRPr="00D83CE9">
        <w:rPr>
          <w:rFonts w:ascii="Times New Roman" w:hAnsi="Times New Roman"/>
          <w:sz w:val="24"/>
          <w:szCs w:val="24"/>
        </w:rPr>
        <w:t xml:space="preserve">In this evaluation design, Training </w:t>
      </w:r>
      <w:r w:rsidR="002A489D">
        <w:rPr>
          <w:rFonts w:ascii="Times New Roman" w:hAnsi="Times New Roman"/>
          <w:sz w:val="24"/>
          <w:szCs w:val="24"/>
        </w:rPr>
        <w:t>p</w:t>
      </w:r>
      <w:r w:rsidRPr="00D83CE9">
        <w:rPr>
          <w:rFonts w:ascii="Times New Roman" w:hAnsi="Times New Roman"/>
          <w:sz w:val="24"/>
          <w:szCs w:val="24"/>
        </w:rPr>
        <w:t xml:space="preserve">roviders will </w:t>
      </w:r>
      <w:r w:rsidR="00247BBC" w:rsidRPr="00D83CE9">
        <w:rPr>
          <w:rFonts w:ascii="Times New Roman" w:hAnsi="Times New Roman"/>
          <w:sz w:val="24"/>
          <w:szCs w:val="24"/>
        </w:rPr>
        <w:t>identify and interview</w:t>
      </w:r>
      <w:r w:rsidRPr="00D83CE9">
        <w:rPr>
          <w:rFonts w:ascii="Times New Roman" w:hAnsi="Times New Roman"/>
          <w:sz w:val="24"/>
          <w:szCs w:val="24"/>
        </w:rPr>
        <w:t xml:space="preserve"> </w:t>
      </w:r>
      <w:r w:rsidR="00247BBC" w:rsidRPr="00D83CE9">
        <w:rPr>
          <w:rFonts w:ascii="Times New Roman" w:hAnsi="Times New Roman"/>
          <w:sz w:val="24"/>
          <w:szCs w:val="24"/>
        </w:rPr>
        <w:t>a set of applicants for each training course, assigning each applicant a numerical score</w:t>
      </w:r>
      <w:r w:rsidRPr="00D83CE9">
        <w:rPr>
          <w:rFonts w:ascii="Times New Roman" w:hAnsi="Times New Roman"/>
          <w:sz w:val="24"/>
          <w:szCs w:val="24"/>
        </w:rPr>
        <w:t xml:space="preserve">. </w:t>
      </w:r>
      <w:r w:rsidR="007345FA" w:rsidRPr="00D83CE9">
        <w:rPr>
          <w:rFonts w:ascii="Times New Roman" w:hAnsi="Times New Roman"/>
          <w:sz w:val="24"/>
          <w:szCs w:val="24"/>
        </w:rPr>
        <w:t>Because</w:t>
      </w:r>
      <w:r w:rsidR="007345FA" w:rsidRPr="00A47FD9">
        <w:rPr>
          <w:rFonts w:ascii="Times New Roman" w:hAnsi="Times New Roman"/>
          <w:sz w:val="24"/>
          <w:szCs w:val="24"/>
        </w:rPr>
        <w:t xml:space="preserve"> applicants with higher scores are different in observable and unobservable ways from those with lower scores, the entire pool of successfu</w:t>
      </w:r>
      <w:r w:rsidR="002A489D">
        <w:rPr>
          <w:rFonts w:ascii="Times New Roman" w:hAnsi="Times New Roman"/>
          <w:sz w:val="24"/>
          <w:szCs w:val="24"/>
        </w:rPr>
        <w:t>l applicants cannot be used as the</w:t>
      </w:r>
      <w:r w:rsidR="007345FA" w:rsidRPr="00A47FD9">
        <w:rPr>
          <w:rFonts w:ascii="Times New Roman" w:hAnsi="Times New Roman"/>
          <w:sz w:val="24"/>
          <w:szCs w:val="24"/>
        </w:rPr>
        <w:t xml:space="preserve"> </w:t>
      </w:r>
      <w:r w:rsidR="002A489D">
        <w:rPr>
          <w:rFonts w:ascii="Times New Roman" w:hAnsi="Times New Roman"/>
          <w:sz w:val="24"/>
          <w:szCs w:val="24"/>
        </w:rPr>
        <w:t>"</w:t>
      </w:r>
      <w:r w:rsidR="007345FA" w:rsidRPr="00A47FD9">
        <w:rPr>
          <w:rFonts w:ascii="Times New Roman" w:hAnsi="Times New Roman"/>
          <w:sz w:val="24"/>
          <w:szCs w:val="24"/>
        </w:rPr>
        <w:t>treatment</w:t>
      </w:r>
      <w:r w:rsidR="002A489D">
        <w:rPr>
          <w:rFonts w:ascii="Times New Roman" w:hAnsi="Times New Roman"/>
          <w:sz w:val="24"/>
          <w:szCs w:val="24"/>
        </w:rPr>
        <w:t>"</w:t>
      </w:r>
      <w:r w:rsidR="007345FA" w:rsidRPr="00A47FD9">
        <w:rPr>
          <w:rFonts w:ascii="Times New Roman" w:hAnsi="Times New Roman"/>
          <w:sz w:val="24"/>
          <w:szCs w:val="24"/>
        </w:rPr>
        <w:t xml:space="preserve"> group for this impact evaluation. Instead,</w:t>
      </w:r>
      <w:r w:rsidR="00D83CE9" w:rsidRPr="00A47FD9">
        <w:rPr>
          <w:rFonts w:ascii="Times New Roman" w:hAnsi="Times New Roman"/>
          <w:sz w:val="24"/>
          <w:szCs w:val="24"/>
        </w:rPr>
        <w:t xml:space="preserve"> successful applicants with</w:t>
      </w:r>
      <w:r w:rsidR="00D83CE9">
        <w:rPr>
          <w:rFonts w:ascii="Times New Roman" w:hAnsi="Times New Roman"/>
          <w:sz w:val="24"/>
          <w:szCs w:val="24"/>
        </w:rPr>
        <w:t xml:space="preserve"> scores just above </w:t>
      </w:r>
      <w:r w:rsidR="00D83CE9" w:rsidRPr="00D83CE9">
        <w:rPr>
          <w:rFonts w:ascii="Times New Roman" w:hAnsi="Times New Roman"/>
          <w:sz w:val="24"/>
          <w:szCs w:val="24"/>
        </w:rPr>
        <w:t>the threshold will comprise the treatment group</w:t>
      </w:r>
      <w:r w:rsidR="007345FA" w:rsidRPr="00D83CE9">
        <w:rPr>
          <w:rFonts w:ascii="Times New Roman" w:hAnsi="Times New Roman"/>
          <w:sz w:val="24"/>
          <w:szCs w:val="24"/>
        </w:rPr>
        <w:t xml:space="preserve"> and will be compare</w:t>
      </w:r>
      <w:r w:rsidR="00A93725" w:rsidRPr="00D83CE9">
        <w:rPr>
          <w:rFonts w:ascii="Times New Roman" w:hAnsi="Times New Roman"/>
          <w:sz w:val="24"/>
          <w:szCs w:val="24"/>
        </w:rPr>
        <w:t>d</w:t>
      </w:r>
      <w:r w:rsidR="007345FA" w:rsidRPr="00D83CE9">
        <w:rPr>
          <w:rFonts w:ascii="Times New Roman" w:hAnsi="Times New Roman"/>
          <w:sz w:val="24"/>
          <w:szCs w:val="24"/>
        </w:rPr>
        <w:t xml:space="preserve"> to those with scores </w:t>
      </w:r>
      <w:r w:rsidR="007345FA" w:rsidRPr="00D83CE9">
        <w:rPr>
          <w:rFonts w:ascii="Times New Roman" w:hAnsi="Times New Roman"/>
          <w:sz w:val="24"/>
          <w:szCs w:val="24"/>
        </w:rPr>
        <w:lastRenderedPageBreak/>
        <w:t>just below the threshold. This type of statistical comparison is frequently used to evaluate programs in which quant</w:t>
      </w:r>
      <w:r w:rsidR="005A4DCE" w:rsidRPr="00D83CE9">
        <w:rPr>
          <w:rFonts w:ascii="Times New Roman" w:hAnsi="Times New Roman"/>
          <w:sz w:val="24"/>
          <w:szCs w:val="24"/>
        </w:rPr>
        <w:t>it</w:t>
      </w:r>
      <w:r w:rsidR="007345FA" w:rsidRPr="00D83CE9">
        <w:rPr>
          <w:rFonts w:ascii="Times New Roman" w:hAnsi="Times New Roman"/>
          <w:sz w:val="24"/>
          <w:szCs w:val="24"/>
        </w:rPr>
        <w:t xml:space="preserve">ative scoring criteria are used to determine </w:t>
      </w:r>
      <w:r w:rsidR="005A4DCE" w:rsidRPr="00D83CE9">
        <w:rPr>
          <w:rFonts w:ascii="Times New Roman" w:hAnsi="Times New Roman"/>
          <w:sz w:val="24"/>
          <w:szCs w:val="24"/>
        </w:rPr>
        <w:t>eligibility</w:t>
      </w:r>
      <w:r w:rsidR="007345FA" w:rsidRPr="00D83CE9">
        <w:rPr>
          <w:rFonts w:ascii="Times New Roman" w:hAnsi="Times New Roman"/>
          <w:sz w:val="24"/>
          <w:szCs w:val="24"/>
        </w:rPr>
        <w:t xml:space="preserve">. </w:t>
      </w:r>
    </w:p>
    <w:p w:rsidR="006D03B6" w:rsidRPr="00D83CE9" w:rsidRDefault="0070124A" w:rsidP="006D03B6">
      <w:pPr>
        <w:pStyle w:val="BodyText"/>
        <w:spacing w:before="240" w:after="0"/>
        <w:rPr>
          <w:rFonts w:ascii="Times New Roman" w:hAnsi="Times New Roman"/>
          <w:sz w:val="24"/>
          <w:szCs w:val="24"/>
        </w:rPr>
      </w:pPr>
      <w:r w:rsidRPr="00D83CE9">
        <w:rPr>
          <w:rFonts w:ascii="Times New Roman" w:hAnsi="Times New Roman"/>
          <w:sz w:val="24"/>
          <w:szCs w:val="24"/>
        </w:rPr>
        <w:t xml:space="preserve">This RD design </w:t>
      </w:r>
      <w:r w:rsidR="00A47FD9" w:rsidRPr="00D83CE9">
        <w:rPr>
          <w:rFonts w:ascii="Times New Roman" w:hAnsi="Times New Roman"/>
          <w:sz w:val="24"/>
          <w:szCs w:val="24"/>
        </w:rPr>
        <w:t>will</w:t>
      </w:r>
      <w:r w:rsidRPr="00D83CE9">
        <w:rPr>
          <w:rFonts w:ascii="Times New Roman" w:hAnsi="Times New Roman"/>
          <w:sz w:val="24"/>
          <w:szCs w:val="24"/>
        </w:rPr>
        <w:t xml:space="preserve"> be integrated into the existing EF framework, allowing a flexible, decentralized, and rolling recruitment process. </w:t>
      </w:r>
      <w:r w:rsidR="002A489D">
        <w:rPr>
          <w:rFonts w:ascii="Times New Roman" w:hAnsi="Times New Roman"/>
          <w:sz w:val="24"/>
          <w:szCs w:val="24"/>
        </w:rPr>
        <w:t>For each training course, t</w:t>
      </w:r>
      <w:r w:rsidR="00D83CE9" w:rsidRPr="00D83CE9">
        <w:rPr>
          <w:rFonts w:ascii="Times New Roman" w:hAnsi="Times New Roman"/>
          <w:sz w:val="24"/>
          <w:szCs w:val="24"/>
        </w:rPr>
        <w:t xml:space="preserve">wo rounds of surveys (baseline and follow-up) will be conducted to collect data on both the treatment and control groups. The surveys will be conducted on a rolling basis as new training courses are scheduled. Baseline surveys will occur after beneficiary selection and before the start of training for each training </w:t>
      </w:r>
      <w:r w:rsidR="002A489D">
        <w:rPr>
          <w:rFonts w:ascii="Times New Roman" w:hAnsi="Times New Roman"/>
          <w:sz w:val="24"/>
          <w:szCs w:val="24"/>
        </w:rPr>
        <w:t>course</w:t>
      </w:r>
      <w:r w:rsidR="00D83CE9" w:rsidRPr="00D83CE9">
        <w:rPr>
          <w:rFonts w:ascii="Times New Roman" w:hAnsi="Times New Roman"/>
          <w:sz w:val="24"/>
          <w:szCs w:val="24"/>
        </w:rPr>
        <w:t xml:space="preserve">. Follow-up surveys will occur approximately 9 months after the completion of training. </w:t>
      </w:r>
      <w:r w:rsidRPr="00D83CE9">
        <w:rPr>
          <w:rFonts w:ascii="Times New Roman" w:hAnsi="Times New Roman"/>
          <w:sz w:val="24"/>
          <w:szCs w:val="24"/>
        </w:rPr>
        <w:t>Specific aspects of the impact evaluation are discussed below.</w:t>
      </w:r>
      <w:r w:rsidR="00AD1253" w:rsidRPr="00D83CE9">
        <w:rPr>
          <w:rFonts w:ascii="Times New Roman" w:hAnsi="Times New Roman"/>
          <w:sz w:val="24"/>
          <w:szCs w:val="24"/>
        </w:rPr>
        <w:t xml:space="preserve"> </w:t>
      </w:r>
    </w:p>
    <w:p w:rsidR="002860B6" w:rsidRPr="002860B6" w:rsidRDefault="00B3514F" w:rsidP="00A1791B">
      <w:pPr>
        <w:pStyle w:val="ListParagraph"/>
        <w:numPr>
          <w:ilvl w:val="0"/>
          <w:numId w:val="16"/>
        </w:numPr>
        <w:spacing w:before="240"/>
        <w:jc w:val="both"/>
        <w:rPr>
          <w:rFonts w:ascii="Times New Roman" w:hAnsi="Times New Roman"/>
          <w:sz w:val="24"/>
          <w:szCs w:val="24"/>
        </w:rPr>
      </w:pPr>
      <w:r>
        <w:rPr>
          <w:rFonts w:ascii="Times New Roman" w:hAnsi="Times New Roman"/>
          <w:b/>
          <w:i/>
          <w:sz w:val="24"/>
          <w:szCs w:val="24"/>
        </w:rPr>
        <w:t xml:space="preserve">Identification and selection of </w:t>
      </w:r>
      <w:r w:rsidR="00A47FD9">
        <w:rPr>
          <w:rFonts w:ascii="Times New Roman" w:hAnsi="Times New Roman"/>
          <w:b/>
          <w:i/>
          <w:sz w:val="24"/>
          <w:szCs w:val="24"/>
        </w:rPr>
        <w:t>survey respondents</w:t>
      </w:r>
    </w:p>
    <w:p w:rsidR="006D03B6" w:rsidRDefault="00247BBC" w:rsidP="003C5D46">
      <w:pPr>
        <w:pStyle w:val="ListParagraph"/>
        <w:spacing w:before="240"/>
        <w:ind w:left="0"/>
        <w:jc w:val="both"/>
        <w:rPr>
          <w:rFonts w:ascii="Times New Roman" w:hAnsi="Times New Roman"/>
          <w:sz w:val="24"/>
          <w:szCs w:val="24"/>
        </w:rPr>
      </w:pPr>
      <w:r w:rsidRPr="00D83CE9">
        <w:rPr>
          <w:rFonts w:ascii="Times New Roman" w:hAnsi="Times New Roman"/>
          <w:sz w:val="24"/>
          <w:szCs w:val="24"/>
        </w:rPr>
        <w:t xml:space="preserve">In accordance with the current practices of the EF, training </w:t>
      </w:r>
      <w:r w:rsidR="0074007D">
        <w:rPr>
          <w:rFonts w:ascii="Times New Roman" w:hAnsi="Times New Roman"/>
          <w:sz w:val="24"/>
          <w:szCs w:val="24"/>
        </w:rPr>
        <w:t xml:space="preserve">providers will have the freedom to select </w:t>
      </w:r>
      <w:r w:rsidRPr="00D83CE9">
        <w:rPr>
          <w:rFonts w:ascii="Times New Roman" w:hAnsi="Times New Roman"/>
          <w:sz w:val="24"/>
          <w:szCs w:val="24"/>
        </w:rPr>
        <w:t xml:space="preserve">young people who apply and are accepted into the program by a selection committee. A standard procedure of recruitment and selection employed across the </w:t>
      </w:r>
      <w:r w:rsidR="0074007D">
        <w:rPr>
          <w:rFonts w:ascii="Times New Roman" w:hAnsi="Times New Roman"/>
          <w:sz w:val="24"/>
          <w:szCs w:val="24"/>
        </w:rPr>
        <w:t>training</w:t>
      </w:r>
      <w:r w:rsidRPr="00D83CE9">
        <w:rPr>
          <w:rFonts w:ascii="Times New Roman" w:hAnsi="Times New Roman"/>
          <w:sz w:val="24"/>
          <w:szCs w:val="24"/>
        </w:rPr>
        <w:t xml:space="preserve"> providers will be important for establishing statistically valid comparison groups for the impact </w:t>
      </w:r>
      <w:r w:rsidRPr="00D56FC3">
        <w:rPr>
          <w:rFonts w:ascii="Times New Roman" w:hAnsi="Times New Roman"/>
          <w:sz w:val="24"/>
          <w:szCs w:val="24"/>
        </w:rPr>
        <w:t>evaluation</w:t>
      </w:r>
      <w:r>
        <w:rPr>
          <w:rFonts w:ascii="Times New Roman" w:hAnsi="Times New Roman"/>
          <w:sz w:val="24"/>
          <w:szCs w:val="24"/>
        </w:rPr>
        <w:t xml:space="preserve">.  </w:t>
      </w:r>
      <w:r w:rsidR="00D77400">
        <w:rPr>
          <w:rFonts w:ascii="Times New Roman" w:hAnsi="Times New Roman"/>
          <w:sz w:val="24"/>
          <w:szCs w:val="24"/>
        </w:rPr>
        <w:t>This</w:t>
      </w:r>
      <w:r w:rsidR="0070124A">
        <w:rPr>
          <w:rFonts w:ascii="Times New Roman" w:hAnsi="Times New Roman"/>
          <w:sz w:val="24"/>
          <w:szCs w:val="24"/>
        </w:rPr>
        <w:t xml:space="preserve"> procedure will require e</w:t>
      </w:r>
      <w:r w:rsidR="0070124A" w:rsidRPr="00D56FC3">
        <w:rPr>
          <w:rFonts w:ascii="Times New Roman" w:hAnsi="Times New Roman"/>
          <w:sz w:val="24"/>
          <w:szCs w:val="24"/>
        </w:rPr>
        <w:t>ach</w:t>
      </w:r>
      <w:r w:rsidR="0070124A">
        <w:rPr>
          <w:rFonts w:ascii="Times New Roman" w:hAnsi="Times New Roman"/>
          <w:sz w:val="24"/>
          <w:szCs w:val="24"/>
        </w:rPr>
        <w:t xml:space="preserve"> </w:t>
      </w:r>
      <w:r w:rsidR="00486806">
        <w:rPr>
          <w:rFonts w:ascii="Times New Roman" w:hAnsi="Times New Roman"/>
          <w:sz w:val="24"/>
          <w:szCs w:val="24"/>
        </w:rPr>
        <w:t>t</w:t>
      </w:r>
      <w:r w:rsidR="00D77400">
        <w:rPr>
          <w:rFonts w:ascii="Times New Roman" w:hAnsi="Times New Roman"/>
          <w:sz w:val="24"/>
          <w:szCs w:val="24"/>
        </w:rPr>
        <w:t xml:space="preserve">raining </w:t>
      </w:r>
      <w:r w:rsidR="00486806">
        <w:rPr>
          <w:rFonts w:ascii="Times New Roman" w:hAnsi="Times New Roman"/>
          <w:sz w:val="24"/>
          <w:szCs w:val="24"/>
        </w:rPr>
        <w:t>p</w:t>
      </w:r>
      <w:r w:rsidR="0070124A">
        <w:rPr>
          <w:rFonts w:ascii="Times New Roman" w:hAnsi="Times New Roman"/>
          <w:sz w:val="24"/>
          <w:szCs w:val="24"/>
        </w:rPr>
        <w:t>rovider contracted by</w:t>
      </w:r>
      <w:r w:rsidR="0070124A" w:rsidRPr="00D56FC3">
        <w:rPr>
          <w:rFonts w:ascii="Times New Roman" w:hAnsi="Times New Roman"/>
          <w:sz w:val="24"/>
          <w:szCs w:val="24"/>
        </w:rPr>
        <w:t xml:space="preserve"> the EF to screen and </w:t>
      </w:r>
      <w:r w:rsidR="0070124A">
        <w:rPr>
          <w:rFonts w:ascii="Times New Roman" w:hAnsi="Times New Roman"/>
          <w:sz w:val="24"/>
          <w:szCs w:val="24"/>
        </w:rPr>
        <w:t xml:space="preserve">identify </w:t>
      </w:r>
      <w:r w:rsidR="0070124A" w:rsidRPr="00D56FC3">
        <w:rPr>
          <w:rFonts w:ascii="Times New Roman" w:hAnsi="Times New Roman"/>
          <w:sz w:val="24"/>
          <w:szCs w:val="24"/>
        </w:rPr>
        <w:t>at least 50% more applicants than there are spaces,</w:t>
      </w:r>
      <w:r w:rsidR="00D77400">
        <w:rPr>
          <w:rFonts w:ascii="Times New Roman" w:hAnsi="Times New Roman"/>
          <w:sz w:val="24"/>
          <w:szCs w:val="24"/>
        </w:rPr>
        <w:t xml:space="preserve"> according to a standard set of </w:t>
      </w:r>
      <w:r w:rsidR="00D83CE9">
        <w:rPr>
          <w:rFonts w:ascii="Times New Roman" w:hAnsi="Times New Roman"/>
          <w:sz w:val="24"/>
          <w:szCs w:val="24"/>
        </w:rPr>
        <w:t xml:space="preserve">eligibility criteria that </w:t>
      </w:r>
      <w:r w:rsidR="0070124A" w:rsidRPr="00D56FC3">
        <w:rPr>
          <w:rFonts w:ascii="Times New Roman" w:hAnsi="Times New Roman"/>
          <w:sz w:val="24"/>
          <w:szCs w:val="24"/>
        </w:rPr>
        <w:t>will be develop</w:t>
      </w:r>
      <w:r w:rsidR="00D83CE9">
        <w:rPr>
          <w:rFonts w:ascii="Times New Roman" w:hAnsi="Times New Roman"/>
          <w:sz w:val="24"/>
          <w:szCs w:val="24"/>
        </w:rPr>
        <w:t>ed in conjunction with the EF. S</w:t>
      </w:r>
      <w:r w:rsidR="0070124A" w:rsidRPr="00D56FC3">
        <w:rPr>
          <w:rFonts w:ascii="Times New Roman" w:hAnsi="Times New Roman"/>
          <w:sz w:val="24"/>
          <w:szCs w:val="24"/>
        </w:rPr>
        <w:t>election committee</w:t>
      </w:r>
      <w:r w:rsidR="00D83CE9">
        <w:rPr>
          <w:rFonts w:ascii="Times New Roman" w:hAnsi="Times New Roman"/>
          <w:sz w:val="24"/>
          <w:szCs w:val="24"/>
        </w:rPr>
        <w:t xml:space="preserve">s will score applicants </w:t>
      </w:r>
      <w:r w:rsidR="0070124A" w:rsidRPr="00D56FC3">
        <w:rPr>
          <w:rFonts w:ascii="Times New Roman" w:hAnsi="Times New Roman"/>
          <w:sz w:val="24"/>
          <w:szCs w:val="24"/>
        </w:rPr>
        <w:t>along various dimensions, including one subjec</w:t>
      </w:r>
      <w:r w:rsidR="00A47FD9">
        <w:rPr>
          <w:rFonts w:ascii="Times New Roman" w:hAnsi="Times New Roman"/>
          <w:sz w:val="24"/>
          <w:szCs w:val="24"/>
        </w:rPr>
        <w:t xml:space="preserve">tive sub-score </w:t>
      </w:r>
      <w:r w:rsidR="0070124A" w:rsidRPr="00D56FC3">
        <w:rPr>
          <w:rFonts w:ascii="Times New Roman" w:hAnsi="Times New Roman"/>
          <w:sz w:val="24"/>
          <w:szCs w:val="24"/>
        </w:rPr>
        <w:t>for motivation level, or ‘commitment’.</w:t>
      </w:r>
      <w:r w:rsidR="00D83CE9">
        <w:rPr>
          <w:rFonts w:ascii="Times New Roman" w:hAnsi="Times New Roman"/>
          <w:sz w:val="24"/>
          <w:szCs w:val="24"/>
        </w:rPr>
        <w:t xml:space="preserve"> These scores will be then be aggregated into a single numerical score for each applicant, and applicants with the highest scores will be offered a space in the training course. For each training course,</w:t>
      </w:r>
      <w:r w:rsidR="0070124A" w:rsidRPr="00D56FC3">
        <w:rPr>
          <w:rFonts w:ascii="Times New Roman" w:hAnsi="Times New Roman"/>
          <w:sz w:val="24"/>
          <w:szCs w:val="24"/>
        </w:rPr>
        <w:t xml:space="preserve"> a </w:t>
      </w:r>
      <w:r w:rsidR="0070124A" w:rsidRPr="00D56FC3">
        <w:rPr>
          <w:rFonts w:ascii="Times New Roman" w:hAnsi="Times New Roman"/>
          <w:i/>
          <w:sz w:val="24"/>
          <w:szCs w:val="24"/>
        </w:rPr>
        <w:t>threshold score</w:t>
      </w:r>
      <w:r w:rsidR="0070124A" w:rsidRPr="00D56FC3">
        <w:rPr>
          <w:rFonts w:ascii="Times New Roman" w:hAnsi="Times New Roman"/>
          <w:sz w:val="24"/>
          <w:szCs w:val="24"/>
        </w:rPr>
        <w:t xml:space="preserve">, or minimum required score to gain entrance to the program, will be recorded. </w:t>
      </w:r>
      <w:r w:rsidR="00486806">
        <w:rPr>
          <w:rFonts w:ascii="Times New Roman" w:hAnsi="Times New Roman"/>
          <w:sz w:val="24"/>
          <w:szCs w:val="24"/>
        </w:rPr>
        <w:t>Individuals</w:t>
      </w:r>
      <w:r w:rsidR="0070124A" w:rsidRPr="00D56FC3">
        <w:rPr>
          <w:rFonts w:ascii="Times New Roman" w:hAnsi="Times New Roman"/>
          <w:sz w:val="24"/>
          <w:szCs w:val="24"/>
        </w:rPr>
        <w:t xml:space="preserve"> with scores just above and below this threshold will be asked to participate in the impact evaluation study. Their participation will be entirely voluntary and will not affect their eligibility for the training course. </w:t>
      </w:r>
      <w:r w:rsidR="00284E3E">
        <w:rPr>
          <w:rFonts w:ascii="Times New Roman" w:hAnsi="Times New Roman"/>
          <w:sz w:val="24"/>
          <w:szCs w:val="24"/>
        </w:rPr>
        <w:t xml:space="preserve">Note that applicants in the AGEI target population (women 16-24) will be considered a separate pool from other EF applicants, thus ensuring that AGEI participants will be adequately represented in the study population. </w:t>
      </w:r>
    </w:p>
    <w:p w:rsidR="00856632" w:rsidRPr="006D03B6" w:rsidRDefault="00856632" w:rsidP="003C5D46">
      <w:pPr>
        <w:pStyle w:val="ListParagraph"/>
        <w:spacing w:before="240"/>
        <w:ind w:left="0"/>
        <w:jc w:val="both"/>
        <w:rPr>
          <w:rFonts w:ascii="Times New Roman" w:hAnsi="Times New Roman"/>
          <w:sz w:val="24"/>
          <w:szCs w:val="24"/>
        </w:rPr>
      </w:pPr>
    </w:p>
    <w:p w:rsidR="006D03B6" w:rsidRPr="006D03B6" w:rsidRDefault="006D03B6" w:rsidP="003C5D46">
      <w:pPr>
        <w:pStyle w:val="ListParagraph"/>
        <w:numPr>
          <w:ilvl w:val="0"/>
          <w:numId w:val="16"/>
        </w:numPr>
        <w:spacing w:before="240" w:after="0"/>
        <w:jc w:val="both"/>
        <w:rPr>
          <w:rFonts w:ascii="Times New Roman" w:hAnsi="Times New Roman"/>
          <w:sz w:val="24"/>
          <w:szCs w:val="24"/>
        </w:rPr>
      </w:pPr>
      <w:r>
        <w:rPr>
          <w:rFonts w:ascii="Times New Roman" w:hAnsi="Times New Roman"/>
          <w:b/>
          <w:i/>
          <w:sz w:val="24"/>
          <w:szCs w:val="24"/>
        </w:rPr>
        <w:t>Sample size</w:t>
      </w:r>
    </w:p>
    <w:p w:rsidR="00E04BA1" w:rsidRDefault="00284E3E" w:rsidP="003C5D46">
      <w:pPr>
        <w:jc w:val="both"/>
        <w:rPr>
          <w:rFonts w:ascii="Times New Roman" w:hAnsi="Times New Roman"/>
          <w:sz w:val="24"/>
          <w:szCs w:val="24"/>
        </w:rPr>
      </w:pPr>
      <w:r>
        <w:rPr>
          <w:rFonts w:ascii="Times New Roman" w:hAnsi="Times New Roman"/>
          <w:sz w:val="24"/>
          <w:szCs w:val="24"/>
        </w:rPr>
        <w:t xml:space="preserve">The sampling for this impact evaluation will be stratified into two groups: AGEI applicants and non-AGEI applicants. For each group, the </w:t>
      </w:r>
      <w:r w:rsidR="00216A9B">
        <w:rPr>
          <w:rFonts w:ascii="Times New Roman" w:hAnsi="Times New Roman"/>
          <w:sz w:val="24"/>
          <w:szCs w:val="24"/>
        </w:rPr>
        <w:t xml:space="preserve">training provider will provide a list of all individuals interviewed for the course along with each applicant's numerical score. The training provider will also indicate the minimum score that was required to gain entry to the course. From these lists, the evaluation will enroll applicants with scores just </w:t>
      </w:r>
      <w:r w:rsidR="00216A9B" w:rsidRPr="00247BBC">
        <w:rPr>
          <w:rFonts w:ascii="Times New Roman" w:hAnsi="Times New Roman"/>
          <w:sz w:val="24"/>
          <w:szCs w:val="24"/>
        </w:rPr>
        <w:t xml:space="preserve">above the threshold </w:t>
      </w:r>
      <w:r w:rsidR="00216A9B">
        <w:rPr>
          <w:rFonts w:ascii="Times New Roman" w:hAnsi="Times New Roman"/>
          <w:sz w:val="24"/>
          <w:szCs w:val="24"/>
        </w:rPr>
        <w:t xml:space="preserve">entry </w:t>
      </w:r>
      <w:r w:rsidR="00216A9B" w:rsidRPr="00247BBC">
        <w:rPr>
          <w:rFonts w:ascii="Times New Roman" w:hAnsi="Times New Roman"/>
          <w:sz w:val="24"/>
          <w:szCs w:val="24"/>
        </w:rPr>
        <w:t xml:space="preserve">score, who receive the training, </w:t>
      </w:r>
      <w:r w:rsidR="00856872">
        <w:rPr>
          <w:rFonts w:ascii="Times New Roman" w:hAnsi="Times New Roman"/>
          <w:sz w:val="24"/>
          <w:szCs w:val="24"/>
        </w:rPr>
        <w:t>and</w:t>
      </w:r>
      <w:r w:rsidR="00216A9B" w:rsidRPr="00247BBC">
        <w:rPr>
          <w:rFonts w:ascii="Times New Roman" w:hAnsi="Times New Roman"/>
          <w:sz w:val="24"/>
          <w:szCs w:val="24"/>
        </w:rPr>
        <w:t xml:space="preserve"> applicants just below the threshold score, who do not receive the training</w:t>
      </w:r>
      <w:r w:rsidR="00216A9B">
        <w:rPr>
          <w:rFonts w:ascii="Times New Roman" w:hAnsi="Times New Roman"/>
          <w:sz w:val="24"/>
          <w:szCs w:val="24"/>
        </w:rPr>
        <w:t xml:space="preserve">. Because it is not feasible for the EF to commit to screening at least two applicants for each training slot, the control group will be smaller than the treatment group. The EF anticipates that the applicant pool will be 150% of the size of the training course; that is, 2 out of every 3 </w:t>
      </w:r>
      <w:r w:rsidR="00216A9B" w:rsidRPr="00E04BA1">
        <w:rPr>
          <w:rFonts w:ascii="Times New Roman" w:hAnsi="Times New Roman"/>
          <w:sz w:val="24"/>
          <w:szCs w:val="24"/>
        </w:rPr>
        <w:t xml:space="preserve">applicants will gain admission on average. </w:t>
      </w:r>
    </w:p>
    <w:p w:rsidR="00E04BA1" w:rsidRPr="00E04BA1" w:rsidRDefault="00E04BA1" w:rsidP="00E04BA1">
      <w:pPr>
        <w:jc w:val="both"/>
        <w:rPr>
          <w:rFonts w:ascii="Times New Roman" w:hAnsi="Times New Roman"/>
          <w:sz w:val="24"/>
          <w:szCs w:val="24"/>
        </w:rPr>
      </w:pPr>
      <w:r>
        <w:rPr>
          <w:rFonts w:ascii="Times New Roman" w:hAnsi="Times New Roman"/>
          <w:sz w:val="24"/>
          <w:szCs w:val="24"/>
        </w:rPr>
        <w:lastRenderedPageBreak/>
        <w:t>I</w:t>
      </w:r>
      <w:r w:rsidRPr="00E04BA1">
        <w:rPr>
          <w:rFonts w:ascii="Times New Roman" w:hAnsi="Times New Roman"/>
          <w:sz w:val="24"/>
          <w:szCs w:val="24"/>
        </w:rPr>
        <w:t xml:space="preserve">t is impossible to know </w:t>
      </w:r>
      <w:r w:rsidRPr="00E04BA1">
        <w:rPr>
          <w:rFonts w:ascii="Times New Roman" w:hAnsi="Times New Roman"/>
          <w:i/>
          <w:sz w:val="24"/>
          <w:szCs w:val="24"/>
        </w:rPr>
        <w:t>a priori</w:t>
      </w:r>
      <w:r w:rsidRPr="00E04BA1">
        <w:rPr>
          <w:rFonts w:ascii="Times New Roman" w:hAnsi="Times New Roman"/>
          <w:sz w:val="24"/>
          <w:szCs w:val="24"/>
        </w:rPr>
        <w:t xml:space="preserve"> how the scores of applicants will be distributed around the threshold entry score.</w:t>
      </w:r>
      <w:r>
        <w:rPr>
          <w:rFonts w:ascii="Times New Roman" w:hAnsi="Times New Roman"/>
          <w:sz w:val="24"/>
          <w:szCs w:val="24"/>
        </w:rPr>
        <w:t xml:space="preserve"> Individuals with scores far away from the threshold, or cutoff score, will be given less weight in the regression analysis than those with scores very close to the threshold.</w:t>
      </w:r>
      <w:r w:rsidR="00AE3787">
        <w:rPr>
          <w:rStyle w:val="FootnoteReference"/>
          <w:rFonts w:ascii="Times New Roman" w:hAnsi="Times New Roman"/>
          <w:sz w:val="24"/>
          <w:szCs w:val="24"/>
        </w:rPr>
        <w:footnoteReference w:id="2"/>
      </w:r>
      <w:r>
        <w:rPr>
          <w:rFonts w:ascii="Times New Roman" w:hAnsi="Times New Roman"/>
          <w:sz w:val="24"/>
          <w:szCs w:val="24"/>
        </w:rPr>
        <w:t xml:space="preserve"> </w:t>
      </w:r>
      <w:r w:rsidR="009E4CB9">
        <w:rPr>
          <w:rFonts w:ascii="Times New Roman" w:hAnsi="Times New Roman"/>
          <w:sz w:val="24"/>
          <w:szCs w:val="24"/>
        </w:rPr>
        <w:t>Given that individuals with scores very far from the threshold will be given a weight of almost zero, the evaluation team proposes to collect information only on those individuals whose scores fall within a certain bandwidth around the cutoff score. The current budget of the impact evaluation allows for a sample size of 4000 individuals, which will be divided evenly into 4 groups: AGEI Treatment (</w:t>
      </w:r>
      <w:r w:rsidR="00FF28C5">
        <w:rPr>
          <w:rFonts w:ascii="Times New Roman" w:hAnsi="Times New Roman"/>
          <w:sz w:val="24"/>
          <w:szCs w:val="24"/>
        </w:rPr>
        <w:t xml:space="preserve">i.e., </w:t>
      </w:r>
      <w:r w:rsidR="009E4CB9">
        <w:rPr>
          <w:rFonts w:ascii="Times New Roman" w:hAnsi="Times New Roman"/>
          <w:sz w:val="24"/>
          <w:szCs w:val="24"/>
        </w:rPr>
        <w:t xml:space="preserve">AGEI women with scores above the cutoff), AGEI Control, Non-AGEI Treatment, and Non-AGEI Control. </w:t>
      </w:r>
      <w:r w:rsidR="00FF28C5">
        <w:rPr>
          <w:rFonts w:ascii="Times New Roman" w:hAnsi="Times New Roman"/>
          <w:sz w:val="24"/>
          <w:szCs w:val="24"/>
        </w:rPr>
        <w:t>Since the pool of successful applicants is larger than the pool of rejected applicants, t</w:t>
      </w:r>
      <w:r w:rsidR="009E4CB9">
        <w:rPr>
          <w:rFonts w:ascii="Times New Roman" w:hAnsi="Times New Roman"/>
          <w:sz w:val="24"/>
          <w:szCs w:val="24"/>
        </w:rPr>
        <w:t xml:space="preserve">his </w:t>
      </w:r>
      <w:r w:rsidR="00FF28C5">
        <w:rPr>
          <w:rFonts w:ascii="Times New Roman" w:hAnsi="Times New Roman"/>
          <w:sz w:val="24"/>
          <w:szCs w:val="24"/>
        </w:rPr>
        <w:t>implies</w:t>
      </w:r>
      <w:r w:rsidR="009E4CB9">
        <w:rPr>
          <w:rFonts w:ascii="Times New Roman" w:hAnsi="Times New Roman"/>
          <w:sz w:val="24"/>
          <w:szCs w:val="24"/>
        </w:rPr>
        <w:t xml:space="preserve"> that the evaluation will include approximately 25% of the successful AGEI applicants, and 50% of the </w:t>
      </w:r>
      <w:r w:rsidR="00AE3787">
        <w:rPr>
          <w:rFonts w:ascii="Times New Roman" w:hAnsi="Times New Roman"/>
          <w:sz w:val="24"/>
          <w:szCs w:val="24"/>
        </w:rPr>
        <w:t>rejected</w:t>
      </w:r>
      <w:r w:rsidR="009E4CB9">
        <w:rPr>
          <w:rFonts w:ascii="Times New Roman" w:hAnsi="Times New Roman"/>
          <w:sz w:val="24"/>
          <w:szCs w:val="24"/>
        </w:rPr>
        <w:t xml:space="preserve"> AGEI applicants. </w:t>
      </w:r>
      <w:r w:rsidR="00FF28C5">
        <w:rPr>
          <w:rFonts w:ascii="Times New Roman" w:hAnsi="Times New Roman"/>
          <w:sz w:val="24"/>
          <w:szCs w:val="24"/>
        </w:rPr>
        <w:t xml:space="preserve">The pool of non-AGEI applicants is much larger, and hence the bandwidth around the </w:t>
      </w:r>
      <w:r w:rsidR="00AE3787">
        <w:rPr>
          <w:rFonts w:ascii="Times New Roman" w:hAnsi="Times New Roman"/>
          <w:sz w:val="24"/>
          <w:szCs w:val="24"/>
        </w:rPr>
        <w:t>threshold entry score</w:t>
      </w:r>
      <w:r w:rsidR="00FF28C5">
        <w:rPr>
          <w:rFonts w:ascii="Times New Roman" w:hAnsi="Times New Roman"/>
          <w:sz w:val="24"/>
          <w:szCs w:val="24"/>
        </w:rPr>
        <w:t xml:space="preserve"> for non-AGEI applicants will be much tighter</w:t>
      </w:r>
      <w:r w:rsidR="008B526F">
        <w:rPr>
          <w:rFonts w:ascii="Times New Roman" w:hAnsi="Times New Roman"/>
          <w:sz w:val="24"/>
          <w:szCs w:val="24"/>
        </w:rPr>
        <w:t>. By creating treatment and control groups of equal size (rather than enrolling a set percentage of individuals from either side of the cutoff), t</w:t>
      </w:r>
      <w:r w:rsidR="00FF28C5">
        <w:rPr>
          <w:rFonts w:ascii="Times New Roman" w:hAnsi="Times New Roman"/>
          <w:sz w:val="24"/>
          <w:szCs w:val="24"/>
        </w:rPr>
        <w:t xml:space="preserve">his division of the sample </w:t>
      </w:r>
      <w:r w:rsidR="008B526F">
        <w:rPr>
          <w:rFonts w:ascii="Times New Roman" w:hAnsi="Times New Roman"/>
          <w:sz w:val="24"/>
          <w:szCs w:val="24"/>
        </w:rPr>
        <w:t>into four equal groups</w:t>
      </w:r>
      <w:r w:rsidR="00FF28C5">
        <w:rPr>
          <w:rFonts w:ascii="Times New Roman" w:hAnsi="Times New Roman"/>
          <w:sz w:val="24"/>
          <w:szCs w:val="24"/>
        </w:rPr>
        <w:t xml:space="preserve"> will maximize the statistical power of the evaluation. </w:t>
      </w:r>
    </w:p>
    <w:p w:rsidR="002860B6" w:rsidRPr="003C3ED1" w:rsidRDefault="002860B6" w:rsidP="003C5D46">
      <w:pPr>
        <w:pStyle w:val="ListParagraph"/>
        <w:numPr>
          <w:ilvl w:val="0"/>
          <w:numId w:val="16"/>
        </w:numPr>
        <w:spacing w:before="240" w:after="0"/>
        <w:jc w:val="both"/>
        <w:rPr>
          <w:rFonts w:ascii="Times New Roman" w:hAnsi="Times New Roman"/>
          <w:i/>
          <w:sz w:val="24"/>
          <w:szCs w:val="24"/>
        </w:rPr>
      </w:pPr>
      <w:r w:rsidRPr="003C3ED1">
        <w:rPr>
          <w:rFonts w:ascii="Times New Roman" w:hAnsi="Times New Roman"/>
          <w:b/>
          <w:i/>
          <w:sz w:val="24"/>
          <w:szCs w:val="24"/>
        </w:rPr>
        <w:t>Statistical power</w:t>
      </w:r>
      <w:r w:rsidR="0049675B" w:rsidRPr="003C3ED1">
        <w:rPr>
          <w:rFonts w:ascii="Times New Roman" w:hAnsi="Times New Roman"/>
          <w:b/>
          <w:i/>
          <w:sz w:val="24"/>
          <w:szCs w:val="24"/>
        </w:rPr>
        <w:t xml:space="preserve"> </w:t>
      </w:r>
    </w:p>
    <w:p w:rsidR="007C1B6E" w:rsidRDefault="007C1B6E" w:rsidP="007C1B6E">
      <w:pPr>
        <w:jc w:val="both"/>
        <w:rPr>
          <w:rFonts w:ascii="Times New Roman" w:hAnsi="Times New Roman"/>
          <w:sz w:val="24"/>
          <w:szCs w:val="24"/>
        </w:rPr>
      </w:pPr>
      <w:r>
        <w:rPr>
          <w:rFonts w:ascii="Times New Roman" w:hAnsi="Times New Roman"/>
          <w:sz w:val="24"/>
          <w:szCs w:val="24"/>
        </w:rPr>
        <w:t>Statistical power</w:t>
      </w:r>
      <w:r w:rsidR="001E15DA">
        <w:rPr>
          <w:rFonts w:ascii="Times New Roman" w:hAnsi="Times New Roman"/>
          <w:sz w:val="24"/>
          <w:szCs w:val="24"/>
        </w:rPr>
        <w:t xml:space="preserve"> calculations have been performed using </w:t>
      </w:r>
      <w:r w:rsidR="006D4F0B">
        <w:rPr>
          <w:rFonts w:ascii="Times New Roman" w:hAnsi="Times New Roman"/>
          <w:sz w:val="24"/>
          <w:szCs w:val="24"/>
        </w:rPr>
        <w:t>the O</w:t>
      </w:r>
      <w:r>
        <w:rPr>
          <w:rFonts w:ascii="Times New Roman" w:hAnsi="Times New Roman"/>
          <w:sz w:val="24"/>
          <w:szCs w:val="24"/>
        </w:rPr>
        <w:t xml:space="preserve">ptimal Design software package using the sample sizes described above. Since outcomes will be correlated among trainees in the same courses, the power calculations must account for intra-cluster correlation. Since the specific number and size of clusters (i.e., training courses) will be determined on a rolling basis after the project begins, the calculations were done for a variety of cluster sizes, ranging from 200 </w:t>
      </w:r>
      <w:r w:rsidR="00C25169">
        <w:rPr>
          <w:rFonts w:ascii="Times New Roman" w:hAnsi="Times New Roman"/>
          <w:sz w:val="24"/>
          <w:szCs w:val="24"/>
        </w:rPr>
        <w:t>courses</w:t>
      </w:r>
      <w:r>
        <w:rPr>
          <w:rFonts w:ascii="Times New Roman" w:hAnsi="Times New Roman"/>
          <w:sz w:val="24"/>
          <w:szCs w:val="24"/>
        </w:rPr>
        <w:t xml:space="preserve"> of 20 </w:t>
      </w:r>
      <w:r w:rsidR="00C25169">
        <w:rPr>
          <w:rFonts w:ascii="Times New Roman" w:hAnsi="Times New Roman"/>
          <w:sz w:val="24"/>
          <w:szCs w:val="24"/>
        </w:rPr>
        <w:t>respondents</w:t>
      </w:r>
      <w:r>
        <w:rPr>
          <w:rFonts w:ascii="Times New Roman" w:hAnsi="Times New Roman"/>
          <w:sz w:val="24"/>
          <w:szCs w:val="24"/>
        </w:rPr>
        <w:t xml:space="preserve"> each to </w:t>
      </w:r>
      <w:r w:rsidR="00423834">
        <w:rPr>
          <w:rFonts w:ascii="Times New Roman" w:hAnsi="Times New Roman"/>
          <w:sz w:val="24"/>
          <w:szCs w:val="24"/>
        </w:rPr>
        <w:t xml:space="preserve">80 </w:t>
      </w:r>
      <w:r w:rsidR="00C25169">
        <w:rPr>
          <w:rFonts w:ascii="Times New Roman" w:hAnsi="Times New Roman"/>
          <w:sz w:val="24"/>
          <w:szCs w:val="24"/>
        </w:rPr>
        <w:t>courses</w:t>
      </w:r>
      <w:r w:rsidR="00423834">
        <w:rPr>
          <w:rFonts w:ascii="Times New Roman" w:hAnsi="Times New Roman"/>
          <w:sz w:val="24"/>
          <w:szCs w:val="24"/>
        </w:rPr>
        <w:t xml:space="preserve"> of 5</w:t>
      </w:r>
      <w:r>
        <w:rPr>
          <w:rFonts w:ascii="Times New Roman" w:hAnsi="Times New Roman"/>
          <w:sz w:val="24"/>
          <w:szCs w:val="24"/>
        </w:rPr>
        <w:t xml:space="preserve">0 </w:t>
      </w:r>
      <w:r w:rsidR="00C25169">
        <w:rPr>
          <w:rFonts w:ascii="Times New Roman" w:hAnsi="Times New Roman"/>
          <w:sz w:val="24"/>
          <w:szCs w:val="24"/>
        </w:rPr>
        <w:t>respondents</w:t>
      </w:r>
      <w:r>
        <w:rPr>
          <w:rFonts w:ascii="Times New Roman" w:hAnsi="Times New Roman"/>
          <w:sz w:val="24"/>
          <w:szCs w:val="24"/>
        </w:rPr>
        <w:t xml:space="preserve"> each. </w:t>
      </w:r>
      <w:r w:rsidR="00423834">
        <w:rPr>
          <w:rFonts w:ascii="Times New Roman" w:hAnsi="Times New Roman"/>
          <w:sz w:val="24"/>
          <w:szCs w:val="24"/>
        </w:rPr>
        <w:t xml:space="preserve">The results below depict the case in which the 4000 respondents are divided into 100 </w:t>
      </w:r>
      <w:r w:rsidR="00C25169">
        <w:rPr>
          <w:rFonts w:ascii="Times New Roman" w:hAnsi="Times New Roman"/>
          <w:sz w:val="24"/>
          <w:szCs w:val="24"/>
        </w:rPr>
        <w:t>courses</w:t>
      </w:r>
      <w:r w:rsidR="00423834">
        <w:rPr>
          <w:rFonts w:ascii="Times New Roman" w:hAnsi="Times New Roman"/>
          <w:sz w:val="24"/>
          <w:szCs w:val="24"/>
        </w:rPr>
        <w:t xml:space="preserve"> (20 Treatment and 20 Control). These 40 respondents are assumed to be split evenly into AGEI and non-AGEI samples. </w:t>
      </w:r>
    </w:p>
    <w:p w:rsidR="00C37774" w:rsidRDefault="006D4F0B" w:rsidP="007C1B6E">
      <w:pPr>
        <w:jc w:val="both"/>
        <w:rPr>
          <w:rFonts w:ascii="Times New Roman" w:hAnsi="Times New Roman"/>
          <w:b/>
        </w:rPr>
      </w:pPr>
      <w:r>
        <w:rPr>
          <w:rFonts w:ascii="Times New Roman" w:hAnsi="Times New Roman"/>
          <w:sz w:val="24"/>
          <w:szCs w:val="24"/>
        </w:rPr>
        <w:t xml:space="preserve">Figure 1 represents the power of the proposed statistical test to detect changes in the primary outcome of interest: employment level. </w:t>
      </w:r>
      <w:r w:rsidR="00486DDE">
        <w:rPr>
          <w:rFonts w:ascii="Times New Roman" w:hAnsi="Times New Roman"/>
          <w:sz w:val="24"/>
          <w:szCs w:val="24"/>
        </w:rPr>
        <w:t xml:space="preserve">The graph shows that given the overall sample of 4000 respondents (2000 Treatment and 2000 Control), the evaluation is well-powered </w:t>
      </w:r>
      <w:r w:rsidR="00664429">
        <w:rPr>
          <w:rFonts w:ascii="Times New Roman" w:hAnsi="Times New Roman"/>
          <w:sz w:val="24"/>
          <w:szCs w:val="24"/>
        </w:rPr>
        <w:t xml:space="preserve">(at 90%) </w:t>
      </w:r>
      <w:r w:rsidR="00486DDE">
        <w:rPr>
          <w:rFonts w:ascii="Times New Roman" w:hAnsi="Times New Roman"/>
          <w:sz w:val="24"/>
          <w:szCs w:val="24"/>
        </w:rPr>
        <w:t xml:space="preserve">to detect an increase in the employment rate of at least 20%. </w:t>
      </w:r>
      <w:r w:rsidR="00C25169">
        <w:rPr>
          <w:rFonts w:ascii="Times New Roman" w:hAnsi="Times New Roman"/>
          <w:sz w:val="24"/>
          <w:szCs w:val="24"/>
        </w:rPr>
        <w:t xml:space="preserve">Given that most applicants to the EF's training programs are currently unemployed (or engaged in agricultural self-employment), a change in employment rate of at least 20% </w:t>
      </w:r>
      <w:r w:rsidR="009B48BE">
        <w:rPr>
          <w:rFonts w:ascii="Times New Roman" w:hAnsi="Times New Roman"/>
          <w:sz w:val="24"/>
          <w:szCs w:val="24"/>
        </w:rPr>
        <w:t xml:space="preserve">for the treatment group (relative to control) </w:t>
      </w:r>
      <w:r w:rsidR="00C25169">
        <w:rPr>
          <w:rFonts w:ascii="Times New Roman" w:hAnsi="Times New Roman"/>
          <w:sz w:val="24"/>
          <w:szCs w:val="24"/>
        </w:rPr>
        <w:t xml:space="preserve">is reasonable to expect and well below the EF's targets. </w:t>
      </w:r>
    </w:p>
    <w:p w:rsidR="00C25169" w:rsidRDefault="00C25169">
      <w:pPr>
        <w:spacing w:after="0" w:line="240" w:lineRule="auto"/>
        <w:rPr>
          <w:rFonts w:ascii="Times New Roman" w:hAnsi="Times New Roman"/>
          <w:b/>
          <w:sz w:val="20"/>
          <w:szCs w:val="20"/>
        </w:rPr>
      </w:pPr>
      <w:r>
        <w:rPr>
          <w:rFonts w:ascii="Times New Roman" w:hAnsi="Times New Roman"/>
          <w:b/>
          <w:sz w:val="20"/>
          <w:szCs w:val="20"/>
        </w:rPr>
        <w:br w:type="page"/>
      </w:r>
    </w:p>
    <w:p w:rsidR="003C5D46" w:rsidRPr="00486DDE" w:rsidRDefault="003C5D46" w:rsidP="00C37774">
      <w:pPr>
        <w:jc w:val="both"/>
        <w:rPr>
          <w:rFonts w:ascii="Times New Roman" w:hAnsi="Times New Roman"/>
          <w:b/>
          <w:sz w:val="20"/>
          <w:szCs w:val="20"/>
        </w:rPr>
      </w:pPr>
      <w:r w:rsidRPr="00486DDE">
        <w:rPr>
          <w:rFonts w:ascii="Times New Roman" w:hAnsi="Times New Roman"/>
          <w:b/>
          <w:sz w:val="20"/>
          <w:szCs w:val="20"/>
        </w:rPr>
        <w:lastRenderedPageBreak/>
        <w:t xml:space="preserve">Figure </w:t>
      </w:r>
      <w:r w:rsidR="001E71D1" w:rsidRPr="00486DDE">
        <w:rPr>
          <w:rFonts w:ascii="Times New Roman" w:hAnsi="Times New Roman"/>
          <w:b/>
          <w:sz w:val="20"/>
          <w:szCs w:val="20"/>
        </w:rPr>
        <w:fldChar w:fldCharType="begin"/>
      </w:r>
      <w:r w:rsidRPr="00486DDE">
        <w:rPr>
          <w:rFonts w:ascii="Times New Roman" w:hAnsi="Times New Roman"/>
          <w:b/>
          <w:sz w:val="20"/>
          <w:szCs w:val="20"/>
        </w:rPr>
        <w:instrText xml:space="preserve"> SEQ Figure \* ARABIC </w:instrText>
      </w:r>
      <w:r w:rsidR="001E71D1" w:rsidRPr="00486DDE">
        <w:rPr>
          <w:rFonts w:ascii="Times New Roman" w:hAnsi="Times New Roman"/>
          <w:b/>
          <w:sz w:val="20"/>
          <w:szCs w:val="20"/>
        </w:rPr>
        <w:fldChar w:fldCharType="separate"/>
      </w:r>
      <w:r w:rsidRPr="00486DDE">
        <w:rPr>
          <w:rFonts w:ascii="Times New Roman" w:hAnsi="Times New Roman"/>
          <w:b/>
          <w:noProof/>
          <w:sz w:val="20"/>
          <w:szCs w:val="20"/>
        </w:rPr>
        <w:t>1</w:t>
      </w:r>
      <w:r w:rsidR="001E71D1" w:rsidRPr="00486DDE">
        <w:rPr>
          <w:rFonts w:ascii="Times New Roman" w:hAnsi="Times New Roman"/>
          <w:b/>
          <w:sz w:val="20"/>
          <w:szCs w:val="20"/>
        </w:rPr>
        <w:fldChar w:fldCharType="end"/>
      </w:r>
      <w:r w:rsidRPr="00486DDE">
        <w:rPr>
          <w:rFonts w:ascii="Times New Roman" w:hAnsi="Times New Roman"/>
          <w:b/>
          <w:sz w:val="20"/>
          <w:szCs w:val="20"/>
        </w:rPr>
        <w:t xml:space="preserve"> </w:t>
      </w:r>
      <w:r w:rsidRPr="00486DDE">
        <w:rPr>
          <w:rFonts w:ascii="Times New Roman" w:hAnsi="Times New Roman"/>
          <w:b/>
          <w:noProof/>
          <w:sz w:val="20"/>
          <w:szCs w:val="20"/>
        </w:rPr>
        <w:t>Statistical Power for Impact Evaluation</w:t>
      </w:r>
    </w:p>
    <w:p w:rsidR="006D4F0B" w:rsidRDefault="00C25169" w:rsidP="00BC680C">
      <w:pPr>
        <w:keepNext/>
        <w:jc w:val="both"/>
      </w:pPr>
      <w:r>
        <w:rPr>
          <w:noProof/>
        </w:rPr>
        <w:drawing>
          <wp:inline distT="0" distB="0" distL="0" distR="0">
            <wp:extent cx="4826265" cy="2891118"/>
            <wp:effectExtent l="19050" t="0" r="0" b="0"/>
            <wp:docPr id="1" name="Picture 0" descr="optdes100_4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des100_40.emf"/>
                    <pic:cNvPicPr/>
                  </pic:nvPicPr>
                  <pic:blipFill>
                    <a:blip r:embed="rId8" cstate="print"/>
                    <a:stretch>
                      <a:fillRect/>
                    </a:stretch>
                  </pic:blipFill>
                  <pic:spPr>
                    <a:xfrm>
                      <a:off x="0" y="0"/>
                      <a:ext cx="4826265" cy="2891118"/>
                    </a:xfrm>
                    <a:prstGeom prst="rect">
                      <a:avLst/>
                    </a:prstGeom>
                  </pic:spPr>
                </pic:pic>
              </a:graphicData>
            </a:graphic>
          </wp:inline>
        </w:drawing>
      </w:r>
    </w:p>
    <w:p w:rsidR="00BC680C" w:rsidRDefault="00BC680C" w:rsidP="00BC680C">
      <w:pPr>
        <w:keepNext/>
        <w:jc w:val="both"/>
      </w:pPr>
      <w:r>
        <w:rPr>
          <w:rFonts w:ascii="Times New Roman" w:hAnsi="Times New Roman"/>
          <w:sz w:val="24"/>
          <w:szCs w:val="24"/>
        </w:rPr>
        <w:t>Figure 2 shows a comparable analysis for the power of the evaluation to detect impacts of the AGEI program specifically. Given the AGEI sample of 1000 Treatment and 1000 Control, split evenly across approximately 100 training courses, the analysis will be adequately powered (at 80%) to detect an increase in the employm</w:t>
      </w:r>
      <w:r w:rsidR="00C25169">
        <w:rPr>
          <w:rFonts w:ascii="Times New Roman" w:hAnsi="Times New Roman"/>
          <w:sz w:val="24"/>
          <w:szCs w:val="24"/>
        </w:rPr>
        <w:t>ent rate of approximately 20%. Although less powered than the overall evaluation on all EF students, the</w:t>
      </w:r>
      <w:r>
        <w:rPr>
          <w:rFonts w:ascii="Times New Roman" w:hAnsi="Times New Roman"/>
          <w:sz w:val="24"/>
          <w:szCs w:val="24"/>
        </w:rPr>
        <w:t xml:space="preserve"> very low baseline rate of </w:t>
      </w:r>
      <w:r w:rsidR="002069AB">
        <w:rPr>
          <w:rFonts w:ascii="Times New Roman" w:hAnsi="Times New Roman"/>
          <w:sz w:val="24"/>
          <w:szCs w:val="24"/>
        </w:rPr>
        <w:t xml:space="preserve">non-agricultural </w:t>
      </w:r>
      <w:r>
        <w:rPr>
          <w:rFonts w:ascii="Times New Roman" w:hAnsi="Times New Roman"/>
          <w:sz w:val="24"/>
          <w:szCs w:val="24"/>
        </w:rPr>
        <w:t>employment for women in the target population (14% according to the 2006 Nepal Demographic and Health Survey)</w:t>
      </w:r>
      <w:r w:rsidR="00C25169">
        <w:rPr>
          <w:rFonts w:ascii="Times New Roman" w:hAnsi="Times New Roman"/>
          <w:sz w:val="24"/>
          <w:szCs w:val="24"/>
        </w:rPr>
        <w:t xml:space="preserve"> </w:t>
      </w:r>
      <w:r w:rsidR="009B48BE">
        <w:rPr>
          <w:rFonts w:ascii="Times New Roman" w:hAnsi="Times New Roman"/>
          <w:sz w:val="24"/>
          <w:szCs w:val="24"/>
        </w:rPr>
        <w:t>means</w:t>
      </w:r>
      <w:r w:rsidR="00C25169">
        <w:rPr>
          <w:rFonts w:ascii="Times New Roman" w:hAnsi="Times New Roman"/>
          <w:sz w:val="24"/>
          <w:szCs w:val="24"/>
        </w:rPr>
        <w:t xml:space="preserve"> that a 20% increase is still well below the project's targets. </w:t>
      </w:r>
    </w:p>
    <w:p w:rsidR="008B526F" w:rsidRPr="00486DDE" w:rsidRDefault="008B526F" w:rsidP="008B526F">
      <w:pPr>
        <w:pStyle w:val="Caption"/>
        <w:keepNext/>
        <w:jc w:val="both"/>
        <w:rPr>
          <w:rFonts w:ascii="Times New Roman" w:hAnsi="Times New Roman"/>
          <w:color w:val="auto"/>
          <w:sz w:val="20"/>
          <w:szCs w:val="20"/>
        </w:rPr>
      </w:pPr>
      <w:r w:rsidRPr="00486DDE">
        <w:rPr>
          <w:rFonts w:ascii="Times New Roman" w:hAnsi="Times New Roman"/>
          <w:color w:val="auto"/>
          <w:sz w:val="20"/>
          <w:szCs w:val="20"/>
        </w:rPr>
        <w:t xml:space="preserve">Figure </w:t>
      </w:r>
      <w:r w:rsidR="00BC680C" w:rsidRPr="00486DDE">
        <w:rPr>
          <w:rFonts w:ascii="Times New Roman" w:hAnsi="Times New Roman"/>
          <w:color w:val="auto"/>
          <w:sz w:val="20"/>
          <w:szCs w:val="20"/>
        </w:rPr>
        <w:t>2</w:t>
      </w:r>
      <w:r w:rsidRPr="00486DDE">
        <w:rPr>
          <w:rFonts w:ascii="Times New Roman" w:hAnsi="Times New Roman"/>
          <w:color w:val="auto"/>
          <w:sz w:val="20"/>
          <w:szCs w:val="20"/>
        </w:rPr>
        <w:t xml:space="preserve"> </w:t>
      </w:r>
      <w:r w:rsidRPr="00486DDE">
        <w:rPr>
          <w:rFonts w:ascii="Times New Roman" w:hAnsi="Times New Roman"/>
          <w:noProof/>
          <w:color w:val="auto"/>
          <w:sz w:val="20"/>
          <w:szCs w:val="20"/>
        </w:rPr>
        <w:t>Statistical Power for Impact Evaluation on AGEI sub-sampl</w:t>
      </w:r>
      <w:r w:rsidR="00BC680C" w:rsidRPr="00486DDE">
        <w:rPr>
          <w:rFonts w:ascii="Times New Roman" w:hAnsi="Times New Roman"/>
          <w:noProof/>
          <w:color w:val="auto"/>
          <w:sz w:val="20"/>
          <w:szCs w:val="20"/>
        </w:rPr>
        <w:t>e</w:t>
      </w:r>
    </w:p>
    <w:p w:rsidR="00856632" w:rsidRPr="008B526F" w:rsidRDefault="00C25169" w:rsidP="00856632">
      <w:pPr>
        <w:jc w:val="both"/>
        <w:rPr>
          <w:rFonts w:ascii="Times New Roman" w:hAnsi="Times New Roman"/>
          <w:sz w:val="24"/>
          <w:szCs w:val="24"/>
        </w:rPr>
      </w:pPr>
      <w:r>
        <w:rPr>
          <w:rFonts w:ascii="Times New Roman" w:hAnsi="Times New Roman"/>
          <w:noProof/>
          <w:sz w:val="24"/>
          <w:szCs w:val="24"/>
        </w:rPr>
        <w:drawing>
          <wp:inline distT="0" distB="0" distL="0" distR="0">
            <wp:extent cx="5095637" cy="3052482"/>
            <wp:effectExtent l="19050" t="0" r="0" b="0"/>
            <wp:docPr id="2" name="Picture 1" descr="optdes100_2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des100_20.emf"/>
                    <pic:cNvPicPr/>
                  </pic:nvPicPr>
                  <pic:blipFill>
                    <a:blip r:embed="rId9" cstate="print"/>
                    <a:stretch>
                      <a:fillRect/>
                    </a:stretch>
                  </pic:blipFill>
                  <pic:spPr>
                    <a:xfrm>
                      <a:off x="0" y="0"/>
                      <a:ext cx="5106990" cy="3059283"/>
                    </a:xfrm>
                    <a:prstGeom prst="rect">
                      <a:avLst/>
                    </a:prstGeom>
                  </pic:spPr>
                </pic:pic>
              </a:graphicData>
            </a:graphic>
          </wp:inline>
        </w:drawing>
      </w:r>
    </w:p>
    <w:p w:rsidR="003C3ED1" w:rsidRPr="003C3ED1" w:rsidRDefault="00F07C6B" w:rsidP="003C3ED1">
      <w:pPr>
        <w:pStyle w:val="ListParagraph"/>
        <w:numPr>
          <w:ilvl w:val="0"/>
          <w:numId w:val="16"/>
        </w:numPr>
        <w:jc w:val="both"/>
        <w:rPr>
          <w:rFonts w:ascii="Times New Roman" w:hAnsi="Times New Roman"/>
          <w:i/>
          <w:sz w:val="24"/>
          <w:szCs w:val="24"/>
        </w:rPr>
      </w:pPr>
      <w:r w:rsidRPr="003C3ED1">
        <w:rPr>
          <w:rFonts w:ascii="Times New Roman" w:hAnsi="Times New Roman"/>
          <w:b/>
          <w:i/>
          <w:sz w:val="24"/>
          <w:szCs w:val="24"/>
        </w:rPr>
        <w:lastRenderedPageBreak/>
        <w:t>Data Collection and Analysis</w:t>
      </w:r>
    </w:p>
    <w:p w:rsidR="008608FE" w:rsidRPr="003C3ED1" w:rsidRDefault="0049675B" w:rsidP="003C5D46">
      <w:pPr>
        <w:jc w:val="both"/>
        <w:rPr>
          <w:rFonts w:ascii="Times New Roman" w:hAnsi="Times New Roman"/>
          <w:sz w:val="24"/>
          <w:szCs w:val="24"/>
        </w:rPr>
      </w:pPr>
      <w:r w:rsidRPr="003C3ED1">
        <w:rPr>
          <w:rFonts w:ascii="Times New Roman" w:hAnsi="Times New Roman"/>
          <w:sz w:val="24"/>
          <w:szCs w:val="24"/>
        </w:rPr>
        <w:t xml:space="preserve">This </w:t>
      </w:r>
      <w:r w:rsidR="0070124A">
        <w:rPr>
          <w:rFonts w:ascii="Times New Roman" w:hAnsi="Times New Roman"/>
          <w:sz w:val="24"/>
          <w:szCs w:val="24"/>
        </w:rPr>
        <w:t>evaluation</w:t>
      </w:r>
      <w:r w:rsidRPr="003C3ED1">
        <w:rPr>
          <w:rFonts w:ascii="Times New Roman" w:hAnsi="Times New Roman"/>
          <w:sz w:val="24"/>
          <w:szCs w:val="24"/>
        </w:rPr>
        <w:t xml:space="preserve"> will consist of at least </w:t>
      </w:r>
      <w:r w:rsidR="001722E3">
        <w:rPr>
          <w:rFonts w:ascii="Times New Roman" w:hAnsi="Times New Roman"/>
          <w:sz w:val="24"/>
          <w:szCs w:val="24"/>
        </w:rPr>
        <w:t>two rounds of surveys</w:t>
      </w:r>
      <w:r w:rsidRPr="003C3ED1">
        <w:rPr>
          <w:rFonts w:ascii="Times New Roman" w:hAnsi="Times New Roman"/>
          <w:sz w:val="24"/>
          <w:szCs w:val="24"/>
        </w:rPr>
        <w:t>: baseline</w:t>
      </w:r>
      <w:r w:rsidR="00472ECE">
        <w:rPr>
          <w:rFonts w:ascii="Times New Roman" w:hAnsi="Times New Roman"/>
          <w:sz w:val="24"/>
          <w:szCs w:val="24"/>
        </w:rPr>
        <w:t xml:space="preserve"> </w:t>
      </w:r>
      <w:r w:rsidRPr="003C3ED1">
        <w:rPr>
          <w:rFonts w:ascii="Times New Roman" w:hAnsi="Times New Roman"/>
          <w:sz w:val="24"/>
          <w:szCs w:val="24"/>
        </w:rPr>
        <w:t xml:space="preserve">and follow-up.  </w:t>
      </w:r>
      <w:r w:rsidR="007941C2" w:rsidRPr="00C17381">
        <w:rPr>
          <w:rFonts w:ascii="Times New Roman" w:hAnsi="Times New Roman"/>
          <w:sz w:val="24"/>
          <w:szCs w:val="24"/>
        </w:rPr>
        <w:t xml:space="preserve">The survey firm </w:t>
      </w:r>
      <w:r w:rsidR="0070124A">
        <w:rPr>
          <w:rFonts w:ascii="Times New Roman" w:hAnsi="Times New Roman"/>
          <w:sz w:val="24"/>
          <w:szCs w:val="24"/>
        </w:rPr>
        <w:t xml:space="preserve">contracted for the data collection </w:t>
      </w:r>
      <w:r w:rsidR="007941C2" w:rsidRPr="00C17381">
        <w:rPr>
          <w:rFonts w:ascii="Times New Roman" w:hAnsi="Times New Roman"/>
          <w:sz w:val="24"/>
          <w:szCs w:val="24"/>
        </w:rPr>
        <w:t xml:space="preserve">will have the primary responsibility for the design </w:t>
      </w:r>
      <w:r w:rsidR="007941C2">
        <w:rPr>
          <w:rFonts w:ascii="Times New Roman" w:hAnsi="Times New Roman"/>
          <w:sz w:val="24"/>
          <w:szCs w:val="24"/>
        </w:rPr>
        <w:t xml:space="preserve">and implementation </w:t>
      </w:r>
      <w:r w:rsidR="007941C2" w:rsidRPr="00C17381">
        <w:rPr>
          <w:rFonts w:ascii="Times New Roman" w:hAnsi="Times New Roman"/>
          <w:sz w:val="24"/>
          <w:szCs w:val="24"/>
        </w:rPr>
        <w:t>of the survey, in close collaboration with the</w:t>
      </w:r>
      <w:r w:rsidR="0070124A">
        <w:rPr>
          <w:rFonts w:ascii="Times New Roman" w:hAnsi="Times New Roman"/>
          <w:sz w:val="24"/>
          <w:szCs w:val="24"/>
        </w:rPr>
        <w:t xml:space="preserve"> EF</w:t>
      </w:r>
      <w:r w:rsidR="00E9025A">
        <w:rPr>
          <w:rFonts w:ascii="Times New Roman" w:hAnsi="Times New Roman"/>
          <w:sz w:val="24"/>
          <w:szCs w:val="24"/>
        </w:rPr>
        <w:t xml:space="preserve"> </w:t>
      </w:r>
      <w:r w:rsidR="007941C2">
        <w:rPr>
          <w:rFonts w:ascii="Times New Roman" w:hAnsi="Times New Roman"/>
          <w:sz w:val="24"/>
          <w:szCs w:val="24"/>
        </w:rPr>
        <w:t xml:space="preserve">and the World Bank team. </w:t>
      </w:r>
      <w:r w:rsidRPr="003C3ED1">
        <w:rPr>
          <w:rFonts w:ascii="Times New Roman" w:hAnsi="Times New Roman"/>
          <w:sz w:val="24"/>
          <w:szCs w:val="24"/>
        </w:rPr>
        <w:t>In addition, the evaluation will include some key-informant-type interviews with local community and business leaders in</w:t>
      </w:r>
      <w:r w:rsidR="003C3ED1">
        <w:rPr>
          <w:rFonts w:ascii="Times New Roman" w:hAnsi="Times New Roman"/>
          <w:sz w:val="24"/>
          <w:szCs w:val="24"/>
        </w:rPr>
        <w:t xml:space="preserve"> the selected sites in order to collect background data on </w:t>
      </w:r>
      <w:r w:rsidRPr="003C3ED1">
        <w:rPr>
          <w:rFonts w:ascii="Times New Roman" w:hAnsi="Times New Roman"/>
          <w:sz w:val="24"/>
          <w:szCs w:val="24"/>
        </w:rPr>
        <w:t xml:space="preserve">the opportunities available in these communities, and the constraints to entering the labor market or establishing a business in the area. </w:t>
      </w:r>
    </w:p>
    <w:p w:rsidR="001E15DA" w:rsidRDefault="008608FE" w:rsidP="001E15DA">
      <w:pPr>
        <w:pStyle w:val="ListParagraph"/>
        <w:numPr>
          <w:ilvl w:val="1"/>
          <w:numId w:val="16"/>
        </w:numPr>
        <w:jc w:val="both"/>
        <w:rPr>
          <w:rFonts w:ascii="Times New Roman" w:hAnsi="Times New Roman"/>
          <w:sz w:val="24"/>
          <w:szCs w:val="24"/>
        </w:rPr>
      </w:pPr>
      <w:r w:rsidRPr="00C17381">
        <w:rPr>
          <w:rFonts w:ascii="Times New Roman" w:hAnsi="Times New Roman"/>
          <w:b/>
          <w:sz w:val="24"/>
          <w:szCs w:val="24"/>
        </w:rPr>
        <w:t>Baseline Questionnaire.</w:t>
      </w:r>
      <w:r w:rsidRPr="00C17381">
        <w:rPr>
          <w:rFonts w:ascii="Times New Roman" w:hAnsi="Times New Roman"/>
          <w:sz w:val="24"/>
          <w:szCs w:val="24"/>
        </w:rPr>
        <w:t xml:space="preserve"> </w:t>
      </w:r>
      <w:r w:rsidR="0070124A" w:rsidRPr="00C17381">
        <w:rPr>
          <w:rFonts w:ascii="Times New Roman" w:hAnsi="Times New Roman"/>
          <w:sz w:val="24"/>
          <w:szCs w:val="24"/>
        </w:rPr>
        <w:t xml:space="preserve">The </w:t>
      </w:r>
      <w:r w:rsidR="0070124A">
        <w:rPr>
          <w:rFonts w:ascii="Times New Roman" w:hAnsi="Times New Roman"/>
          <w:sz w:val="24"/>
          <w:szCs w:val="24"/>
        </w:rPr>
        <w:t>instrument for the baseline survey</w:t>
      </w:r>
      <w:r w:rsidR="0070124A" w:rsidRPr="00C17381">
        <w:rPr>
          <w:rFonts w:ascii="Times New Roman" w:hAnsi="Times New Roman"/>
          <w:sz w:val="24"/>
          <w:szCs w:val="24"/>
        </w:rPr>
        <w:t xml:space="preserve"> will collect information on the young woman</w:t>
      </w:r>
      <w:r w:rsidR="008F6C46">
        <w:rPr>
          <w:rFonts w:ascii="Times New Roman" w:hAnsi="Times New Roman"/>
          <w:sz w:val="24"/>
          <w:szCs w:val="24"/>
        </w:rPr>
        <w:t xml:space="preserve"> and the head of the household in which she lives. The survey instrument will include all indicators described in Section 3, including employment, education, assets, as well as subjective measures of attitudes, aspirations, and self-confidence</w:t>
      </w:r>
      <w:r w:rsidR="0070124A" w:rsidRPr="00C17381">
        <w:rPr>
          <w:rFonts w:ascii="Times New Roman" w:hAnsi="Times New Roman"/>
          <w:sz w:val="24"/>
          <w:szCs w:val="24"/>
        </w:rPr>
        <w:t>.  These latter questions will most likely b</w:t>
      </w:r>
      <w:r w:rsidR="0070124A">
        <w:rPr>
          <w:rFonts w:ascii="Times New Roman" w:hAnsi="Times New Roman"/>
          <w:sz w:val="24"/>
          <w:szCs w:val="24"/>
        </w:rPr>
        <w:t xml:space="preserve">e self-reported beliefs, but the survey </w:t>
      </w:r>
      <w:r w:rsidR="0070124A" w:rsidRPr="00C17381">
        <w:rPr>
          <w:rFonts w:ascii="Times New Roman" w:hAnsi="Times New Roman"/>
          <w:sz w:val="24"/>
          <w:szCs w:val="24"/>
        </w:rPr>
        <w:t xml:space="preserve">may include modules to measure discount rates and other characteristics more quantitatively.  </w:t>
      </w:r>
      <w:r w:rsidR="0070124A">
        <w:rPr>
          <w:rFonts w:ascii="Times New Roman" w:hAnsi="Times New Roman"/>
          <w:sz w:val="24"/>
          <w:szCs w:val="24"/>
        </w:rPr>
        <w:t xml:space="preserve">It is essential that these baseline interviews </w:t>
      </w:r>
      <w:r w:rsidR="0070124A" w:rsidRPr="009B44F5">
        <w:rPr>
          <w:rFonts w:ascii="Times New Roman" w:hAnsi="Times New Roman"/>
          <w:i/>
          <w:sz w:val="24"/>
          <w:szCs w:val="24"/>
        </w:rPr>
        <w:t>be conducted before</w:t>
      </w:r>
      <w:r w:rsidR="0070124A">
        <w:rPr>
          <w:rFonts w:ascii="Times New Roman" w:hAnsi="Times New Roman"/>
          <w:i/>
          <w:sz w:val="24"/>
          <w:szCs w:val="24"/>
        </w:rPr>
        <w:t xml:space="preserve"> the training program begins</w:t>
      </w:r>
      <w:r w:rsidR="0070124A">
        <w:rPr>
          <w:rFonts w:ascii="Times New Roman" w:hAnsi="Times New Roman"/>
          <w:sz w:val="24"/>
          <w:szCs w:val="24"/>
        </w:rPr>
        <w:t>. After the baseline survey has been completed for both the treatment and control groups of a particular training course, training can begin.</w:t>
      </w:r>
    </w:p>
    <w:p w:rsidR="00534A34" w:rsidRDefault="00534A34" w:rsidP="00534A34">
      <w:pPr>
        <w:pStyle w:val="ListParagraph"/>
        <w:ind w:left="1440"/>
        <w:jc w:val="both"/>
        <w:rPr>
          <w:rFonts w:ascii="Times New Roman" w:hAnsi="Times New Roman"/>
          <w:sz w:val="24"/>
          <w:szCs w:val="24"/>
        </w:rPr>
      </w:pPr>
    </w:p>
    <w:p w:rsidR="001E15DA" w:rsidRPr="001E15DA" w:rsidRDefault="00AD1253" w:rsidP="001E15DA">
      <w:pPr>
        <w:pStyle w:val="ListParagraph"/>
        <w:numPr>
          <w:ilvl w:val="1"/>
          <w:numId w:val="16"/>
        </w:numPr>
        <w:jc w:val="both"/>
        <w:rPr>
          <w:rFonts w:ascii="Times New Roman" w:hAnsi="Times New Roman"/>
          <w:sz w:val="24"/>
          <w:szCs w:val="24"/>
        </w:rPr>
      </w:pPr>
      <w:r w:rsidRPr="001E15DA">
        <w:rPr>
          <w:rFonts w:ascii="Times New Roman" w:hAnsi="Times New Roman"/>
          <w:b/>
          <w:sz w:val="24"/>
          <w:szCs w:val="24"/>
        </w:rPr>
        <w:t>Follow-Up Questionnaire.</w:t>
      </w:r>
      <w:r w:rsidRPr="001E15DA">
        <w:rPr>
          <w:rFonts w:ascii="Times New Roman" w:hAnsi="Times New Roman"/>
          <w:sz w:val="24"/>
          <w:szCs w:val="24"/>
        </w:rPr>
        <w:t xml:space="preserve"> </w:t>
      </w:r>
      <w:r w:rsidR="001E15DA" w:rsidRPr="001E15DA">
        <w:rPr>
          <w:rFonts w:ascii="Times New Roman" w:hAnsi="Times New Roman"/>
          <w:sz w:val="24"/>
          <w:szCs w:val="24"/>
        </w:rPr>
        <w:t xml:space="preserve">The follow-up survey instrument will resemble the baseline questionnaire as closely as possible.  This will enable the comparison of changes in attitudes and behavior over time.  In addition, the follow-up survey will include questions on the business and employment experiences of the young women since the completion of their training. </w:t>
      </w:r>
    </w:p>
    <w:p w:rsidR="001E15DA" w:rsidRDefault="001E15DA" w:rsidP="001E15DA">
      <w:pPr>
        <w:pStyle w:val="ListParagraph"/>
        <w:ind w:left="360"/>
        <w:jc w:val="both"/>
        <w:rPr>
          <w:rFonts w:ascii="Times New Roman" w:hAnsi="Times New Roman"/>
          <w:sz w:val="24"/>
          <w:szCs w:val="24"/>
        </w:rPr>
      </w:pPr>
    </w:p>
    <w:p w:rsidR="001E15DA" w:rsidRDefault="001E15DA" w:rsidP="003C5D46">
      <w:pPr>
        <w:pStyle w:val="ListParagraph"/>
        <w:ind w:left="0"/>
        <w:jc w:val="both"/>
        <w:rPr>
          <w:rFonts w:ascii="Times New Roman" w:hAnsi="Times New Roman"/>
          <w:sz w:val="24"/>
          <w:szCs w:val="24"/>
        </w:rPr>
      </w:pPr>
      <w:r w:rsidRPr="00D56FC3">
        <w:rPr>
          <w:rFonts w:ascii="Times New Roman" w:hAnsi="Times New Roman"/>
          <w:sz w:val="24"/>
          <w:szCs w:val="24"/>
        </w:rPr>
        <w:t xml:space="preserve">In addition to these more conventional surveys, the project may undertake to elicit the impact of the training on the participants’ ability to negotiate problems and work in groups, and on their levels of trust and leadership.  There exist standard batteries of tests that are currently being used to evaluate the impact of similar programs on young women in other contexts. </w:t>
      </w:r>
    </w:p>
    <w:p w:rsidR="001E15DA" w:rsidRDefault="001E15DA" w:rsidP="001E15DA">
      <w:pPr>
        <w:pStyle w:val="ListParagraph"/>
        <w:ind w:left="360"/>
        <w:jc w:val="both"/>
        <w:rPr>
          <w:rFonts w:ascii="Times New Roman" w:hAnsi="Times New Roman"/>
          <w:sz w:val="24"/>
          <w:szCs w:val="24"/>
        </w:rPr>
      </w:pPr>
    </w:p>
    <w:p w:rsidR="009B44F5" w:rsidRDefault="001E15DA" w:rsidP="003C5D46">
      <w:pPr>
        <w:pStyle w:val="ListParagraph"/>
        <w:ind w:left="0"/>
        <w:jc w:val="both"/>
        <w:rPr>
          <w:rFonts w:ascii="Times New Roman" w:hAnsi="Times New Roman"/>
          <w:sz w:val="24"/>
          <w:szCs w:val="24"/>
        </w:rPr>
      </w:pPr>
      <w:r>
        <w:rPr>
          <w:rFonts w:ascii="Times New Roman" w:hAnsi="Times New Roman"/>
          <w:sz w:val="24"/>
          <w:szCs w:val="24"/>
        </w:rPr>
        <w:t>Also i</w:t>
      </w:r>
      <w:r w:rsidRPr="001E15DA">
        <w:rPr>
          <w:rFonts w:ascii="Times New Roman" w:hAnsi="Times New Roman"/>
          <w:sz w:val="24"/>
          <w:szCs w:val="24"/>
        </w:rPr>
        <w:t xml:space="preserve">n addition to the baseline and follow-up surveys, a longer period of follow-up study </w:t>
      </w:r>
      <w:r w:rsidR="00534A34">
        <w:rPr>
          <w:rFonts w:ascii="Times New Roman" w:hAnsi="Times New Roman"/>
          <w:sz w:val="24"/>
          <w:szCs w:val="24"/>
        </w:rPr>
        <w:t>may</w:t>
      </w:r>
      <w:r w:rsidRPr="001E15DA">
        <w:rPr>
          <w:rFonts w:ascii="Times New Roman" w:hAnsi="Times New Roman"/>
          <w:sz w:val="24"/>
          <w:szCs w:val="24"/>
        </w:rPr>
        <w:t xml:space="preserve"> be conducted for the study respondents from the first year of project implementation</w:t>
      </w:r>
      <w:r>
        <w:rPr>
          <w:rFonts w:ascii="Times New Roman" w:hAnsi="Times New Roman"/>
          <w:sz w:val="24"/>
          <w:szCs w:val="24"/>
        </w:rPr>
        <w:t>, subject to budget availability</w:t>
      </w:r>
      <w:r w:rsidRPr="001E15DA">
        <w:rPr>
          <w:rFonts w:ascii="Times New Roman" w:hAnsi="Times New Roman"/>
          <w:sz w:val="24"/>
          <w:szCs w:val="24"/>
        </w:rPr>
        <w:t xml:space="preserve">. The instruments for these additional follow-up surveys will resemble those from the baseline as much as possible. </w:t>
      </w:r>
      <w:r w:rsidR="00486DDE">
        <w:rPr>
          <w:rFonts w:ascii="Times New Roman" w:hAnsi="Times New Roman"/>
          <w:sz w:val="24"/>
          <w:szCs w:val="24"/>
        </w:rPr>
        <w:t>T</w:t>
      </w:r>
      <w:r w:rsidRPr="001E15DA">
        <w:rPr>
          <w:rFonts w:ascii="Times New Roman" w:hAnsi="Times New Roman"/>
          <w:sz w:val="24"/>
          <w:szCs w:val="24"/>
        </w:rPr>
        <w:t>hese additional surveys will allow the evaluation to provide some evidence of longer-term outcomes up to two years after the end of training. By following up multiple times with a smaller sample of respondents, the study can examine indicators that may take longer to evolve, such as changes in self-confidence and accrual of savings, and assess whether the effects of training attenuate or increase with time</w:t>
      </w:r>
      <w:r>
        <w:rPr>
          <w:rFonts w:ascii="Times New Roman" w:hAnsi="Times New Roman"/>
          <w:sz w:val="24"/>
          <w:szCs w:val="24"/>
        </w:rPr>
        <w:t>.</w:t>
      </w:r>
    </w:p>
    <w:p w:rsidR="001E15DA" w:rsidRPr="001E15DA" w:rsidRDefault="001E15DA" w:rsidP="001E15DA">
      <w:pPr>
        <w:pStyle w:val="ListParagraph"/>
        <w:ind w:left="360"/>
        <w:jc w:val="both"/>
        <w:rPr>
          <w:rFonts w:ascii="Times New Roman" w:hAnsi="Times New Roman"/>
          <w:sz w:val="24"/>
          <w:szCs w:val="24"/>
        </w:rPr>
      </w:pPr>
    </w:p>
    <w:p w:rsidR="002860B6" w:rsidRPr="00C177D7" w:rsidRDefault="00DB5254" w:rsidP="00BF293E">
      <w:pPr>
        <w:pStyle w:val="ListParagraph"/>
        <w:numPr>
          <w:ilvl w:val="0"/>
          <w:numId w:val="16"/>
        </w:numPr>
        <w:jc w:val="both"/>
        <w:rPr>
          <w:rFonts w:ascii="Times New Roman" w:hAnsi="Times New Roman"/>
          <w:b/>
          <w:i/>
          <w:sz w:val="24"/>
          <w:szCs w:val="24"/>
        </w:rPr>
      </w:pPr>
      <w:r w:rsidRPr="00C177D7">
        <w:rPr>
          <w:rFonts w:ascii="Times New Roman" w:hAnsi="Times New Roman"/>
          <w:b/>
          <w:i/>
          <w:sz w:val="24"/>
          <w:szCs w:val="24"/>
        </w:rPr>
        <w:lastRenderedPageBreak/>
        <w:t>Timeline</w:t>
      </w:r>
    </w:p>
    <w:p w:rsidR="001E15DA" w:rsidRDefault="001E15DA" w:rsidP="00486DDE">
      <w:pPr>
        <w:pStyle w:val="ListParagraph"/>
        <w:ind w:left="0"/>
        <w:jc w:val="both"/>
        <w:rPr>
          <w:rFonts w:ascii="Times New Roman" w:hAnsi="Times New Roman"/>
          <w:sz w:val="24"/>
          <w:szCs w:val="24"/>
        </w:rPr>
      </w:pPr>
      <w:r>
        <w:rPr>
          <w:rFonts w:ascii="Times New Roman" w:hAnsi="Times New Roman"/>
          <w:sz w:val="24"/>
          <w:szCs w:val="24"/>
        </w:rPr>
        <w:t>The</w:t>
      </w:r>
      <w:r w:rsidRPr="00D56FC3">
        <w:rPr>
          <w:rFonts w:ascii="Times New Roman" w:hAnsi="Times New Roman"/>
          <w:sz w:val="24"/>
          <w:szCs w:val="24"/>
        </w:rPr>
        <w:t xml:space="preserve"> AGEI project will be conducted over approximately 3 years, beginning in </w:t>
      </w:r>
      <w:r w:rsidR="0074007D">
        <w:rPr>
          <w:rFonts w:ascii="Times New Roman" w:hAnsi="Times New Roman"/>
          <w:sz w:val="24"/>
          <w:szCs w:val="24"/>
        </w:rPr>
        <w:t>early 2010</w:t>
      </w:r>
      <w:r w:rsidRPr="00D56FC3">
        <w:rPr>
          <w:rFonts w:ascii="Times New Roman" w:hAnsi="Times New Roman"/>
          <w:sz w:val="24"/>
          <w:szCs w:val="24"/>
        </w:rPr>
        <w:t xml:space="preserve">. </w:t>
      </w:r>
      <w:r w:rsidR="0074007D">
        <w:rPr>
          <w:rFonts w:ascii="Times New Roman" w:hAnsi="Times New Roman"/>
          <w:sz w:val="24"/>
          <w:szCs w:val="24"/>
        </w:rPr>
        <w:t>In January 2010</w:t>
      </w:r>
      <w:r>
        <w:rPr>
          <w:rFonts w:ascii="Times New Roman" w:hAnsi="Times New Roman"/>
          <w:sz w:val="24"/>
          <w:szCs w:val="24"/>
        </w:rPr>
        <w:t>, the survey</w:t>
      </w:r>
      <w:r w:rsidRPr="00D56FC3">
        <w:rPr>
          <w:rFonts w:ascii="Times New Roman" w:hAnsi="Times New Roman"/>
          <w:sz w:val="24"/>
          <w:szCs w:val="24"/>
        </w:rPr>
        <w:t xml:space="preserve"> firm </w:t>
      </w:r>
      <w:r>
        <w:rPr>
          <w:rFonts w:ascii="Times New Roman" w:hAnsi="Times New Roman"/>
          <w:sz w:val="24"/>
          <w:szCs w:val="24"/>
        </w:rPr>
        <w:t>will design and test</w:t>
      </w:r>
      <w:r w:rsidRPr="00D56FC3">
        <w:rPr>
          <w:rFonts w:ascii="Times New Roman" w:hAnsi="Times New Roman"/>
          <w:sz w:val="24"/>
          <w:szCs w:val="24"/>
        </w:rPr>
        <w:t xml:space="preserve"> the </w:t>
      </w:r>
      <w:r>
        <w:rPr>
          <w:rFonts w:ascii="Times New Roman" w:hAnsi="Times New Roman"/>
          <w:sz w:val="24"/>
          <w:szCs w:val="24"/>
        </w:rPr>
        <w:t xml:space="preserve">survey </w:t>
      </w:r>
      <w:r w:rsidRPr="00D56FC3">
        <w:rPr>
          <w:rFonts w:ascii="Times New Roman" w:hAnsi="Times New Roman"/>
          <w:sz w:val="24"/>
          <w:szCs w:val="24"/>
        </w:rPr>
        <w:t xml:space="preserve">questionnaires. </w:t>
      </w:r>
      <w:r>
        <w:rPr>
          <w:rFonts w:ascii="Times New Roman" w:hAnsi="Times New Roman"/>
          <w:sz w:val="24"/>
          <w:szCs w:val="24"/>
        </w:rPr>
        <w:t xml:space="preserve">The EF is scheduled to begin requesting proposals from </w:t>
      </w:r>
      <w:r w:rsidR="0074007D">
        <w:rPr>
          <w:rFonts w:ascii="Times New Roman" w:hAnsi="Times New Roman"/>
          <w:sz w:val="24"/>
          <w:szCs w:val="24"/>
        </w:rPr>
        <w:t>training</w:t>
      </w:r>
      <w:r>
        <w:rPr>
          <w:rFonts w:ascii="Times New Roman" w:hAnsi="Times New Roman"/>
          <w:sz w:val="24"/>
          <w:szCs w:val="24"/>
        </w:rPr>
        <w:t xml:space="preserve"> providers in </w:t>
      </w:r>
      <w:r w:rsidR="0074007D">
        <w:rPr>
          <w:rFonts w:ascii="Times New Roman" w:hAnsi="Times New Roman"/>
          <w:sz w:val="24"/>
          <w:szCs w:val="24"/>
        </w:rPr>
        <w:t>early</w:t>
      </w:r>
      <w:r>
        <w:rPr>
          <w:rFonts w:ascii="Times New Roman" w:hAnsi="Times New Roman"/>
          <w:sz w:val="24"/>
          <w:szCs w:val="24"/>
        </w:rPr>
        <w:t xml:space="preserve"> 20</w:t>
      </w:r>
      <w:r w:rsidR="0074007D">
        <w:rPr>
          <w:rFonts w:ascii="Times New Roman" w:hAnsi="Times New Roman"/>
          <w:sz w:val="24"/>
          <w:szCs w:val="24"/>
        </w:rPr>
        <w:t>10</w:t>
      </w:r>
      <w:r>
        <w:rPr>
          <w:rFonts w:ascii="Times New Roman" w:hAnsi="Times New Roman"/>
          <w:sz w:val="24"/>
          <w:szCs w:val="24"/>
        </w:rPr>
        <w:t xml:space="preserve">, with recruitment of participants at each training site proceeding immediately after. The </w:t>
      </w:r>
      <w:r w:rsidRPr="00D56FC3">
        <w:rPr>
          <w:rFonts w:ascii="Times New Roman" w:hAnsi="Times New Roman"/>
          <w:sz w:val="24"/>
          <w:szCs w:val="24"/>
        </w:rPr>
        <w:t>baseline survey at</w:t>
      </w:r>
      <w:r>
        <w:rPr>
          <w:rFonts w:ascii="Times New Roman" w:hAnsi="Times New Roman"/>
          <w:sz w:val="24"/>
          <w:szCs w:val="24"/>
        </w:rPr>
        <w:t xml:space="preserve"> each training site, for both treatment and control groups, will be conducted </w:t>
      </w:r>
      <w:r w:rsidRPr="004C6BAB">
        <w:rPr>
          <w:rFonts w:ascii="Times New Roman" w:hAnsi="Times New Roman"/>
          <w:i/>
          <w:sz w:val="24"/>
          <w:szCs w:val="24"/>
        </w:rPr>
        <w:t>after</w:t>
      </w:r>
      <w:r>
        <w:rPr>
          <w:rFonts w:ascii="Times New Roman" w:hAnsi="Times New Roman"/>
          <w:sz w:val="24"/>
          <w:szCs w:val="24"/>
        </w:rPr>
        <w:t xml:space="preserve"> beneficiary selection ends and </w:t>
      </w:r>
      <w:r w:rsidRPr="004C6BAB">
        <w:rPr>
          <w:rFonts w:ascii="Times New Roman" w:hAnsi="Times New Roman"/>
          <w:i/>
          <w:sz w:val="24"/>
          <w:szCs w:val="24"/>
        </w:rPr>
        <w:t>before</w:t>
      </w:r>
      <w:r>
        <w:rPr>
          <w:rFonts w:ascii="Times New Roman" w:hAnsi="Times New Roman"/>
          <w:sz w:val="24"/>
          <w:szCs w:val="24"/>
        </w:rPr>
        <w:t xml:space="preserve"> training begins. Baseline surveys will continue over the 3 year project period as new training events are scheduled. At the end of 2010, a baseline report will summarize the characteristics of study respondents surveyed in the first</w:t>
      </w:r>
      <w:r w:rsidR="00486DDE">
        <w:rPr>
          <w:rFonts w:ascii="Times New Roman" w:hAnsi="Times New Roman"/>
          <w:sz w:val="24"/>
          <w:szCs w:val="24"/>
        </w:rPr>
        <w:t xml:space="preserve"> year of project effectiveness.</w:t>
      </w:r>
    </w:p>
    <w:p w:rsidR="00486DDE" w:rsidRPr="00486DDE" w:rsidRDefault="00486DDE" w:rsidP="00486DDE">
      <w:pPr>
        <w:pStyle w:val="ListParagraph"/>
        <w:ind w:left="0"/>
        <w:jc w:val="both"/>
        <w:rPr>
          <w:rFonts w:ascii="Times New Roman" w:hAnsi="Times New Roman"/>
          <w:sz w:val="24"/>
          <w:szCs w:val="24"/>
        </w:rPr>
      </w:pPr>
    </w:p>
    <w:p w:rsidR="001E15DA" w:rsidRDefault="001E15DA" w:rsidP="00486DDE">
      <w:pPr>
        <w:pStyle w:val="ListParagraph"/>
        <w:ind w:left="0"/>
        <w:jc w:val="both"/>
        <w:rPr>
          <w:rFonts w:ascii="Times New Roman" w:hAnsi="Times New Roman"/>
          <w:sz w:val="24"/>
          <w:szCs w:val="24"/>
        </w:rPr>
      </w:pPr>
      <w:r>
        <w:rPr>
          <w:rFonts w:ascii="Times New Roman" w:hAnsi="Times New Roman"/>
          <w:sz w:val="24"/>
          <w:szCs w:val="24"/>
        </w:rPr>
        <w:t>Because the</w:t>
      </w:r>
      <w:r w:rsidRPr="00D56FC3">
        <w:rPr>
          <w:rFonts w:ascii="Times New Roman" w:hAnsi="Times New Roman"/>
          <w:sz w:val="24"/>
          <w:szCs w:val="24"/>
        </w:rPr>
        <w:t xml:space="preserve"> timing of training will vary across </w:t>
      </w:r>
      <w:r>
        <w:rPr>
          <w:rFonts w:ascii="Times New Roman" w:hAnsi="Times New Roman"/>
          <w:sz w:val="24"/>
          <w:szCs w:val="24"/>
        </w:rPr>
        <w:t xml:space="preserve">the </w:t>
      </w:r>
      <w:r w:rsidRPr="00D56FC3">
        <w:rPr>
          <w:rFonts w:ascii="Times New Roman" w:hAnsi="Times New Roman"/>
          <w:sz w:val="24"/>
          <w:szCs w:val="24"/>
        </w:rPr>
        <w:t xml:space="preserve">T&amp;E providers, and individual courses will be offered at different times, the </w:t>
      </w:r>
      <w:r>
        <w:rPr>
          <w:rFonts w:ascii="Times New Roman" w:hAnsi="Times New Roman"/>
          <w:sz w:val="24"/>
          <w:szCs w:val="24"/>
        </w:rPr>
        <w:t xml:space="preserve">baseline and follow-up </w:t>
      </w:r>
      <w:r w:rsidRPr="00D56FC3">
        <w:rPr>
          <w:rFonts w:ascii="Times New Roman" w:hAnsi="Times New Roman"/>
          <w:sz w:val="24"/>
          <w:szCs w:val="24"/>
        </w:rPr>
        <w:t xml:space="preserve">surveys will be conducted at different times </w:t>
      </w:r>
      <w:r>
        <w:rPr>
          <w:rFonts w:ascii="Times New Roman" w:hAnsi="Times New Roman"/>
          <w:sz w:val="24"/>
          <w:szCs w:val="24"/>
        </w:rPr>
        <w:t>for each training event</w:t>
      </w:r>
      <w:r w:rsidRPr="00D56FC3">
        <w:rPr>
          <w:rFonts w:ascii="Times New Roman" w:hAnsi="Times New Roman"/>
          <w:sz w:val="24"/>
          <w:szCs w:val="24"/>
        </w:rPr>
        <w:t xml:space="preserve">. </w:t>
      </w:r>
      <w:r>
        <w:rPr>
          <w:rFonts w:ascii="Times New Roman" w:hAnsi="Times New Roman"/>
          <w:sz w:val="24"/>
          <w:szCs w:val="24"/>
        </w:rPr>
        <w:t xml:space="preserve">The survey firm will bear primary responsibility for coordinating with the EF and the </w:t>
      </w:r>
      <w:r w:rsidR="0074007D">
        <w:rPr>
          <w:rFonts w:ascii="Times New Roman" w:hAnsi="Times New Roman"/>
          <w:sz w:val="24"/>
          <w:szCs w:val="24"/>
        </w:rPr>
        <w:t>training</w:t>
      </w:r>
      <w:r>
        <w:rPr>
          <w:rFonts w:ascii="Times New Roman" w:hAnsi="Times New Roman"/>
          <w:sz w:val="24"/>
          <w:szCs w:val="24"/>
        </w:rPr>
        <w:t xml:space="preserve"> providers to ensure that baseline surveys are conducted for each training event. </w:t>
      </w:r>
    </w:p>
    <w:p w:rsidR="00486DDE" w:rsidRPr="00486DDE" w:rsidRDefault="00486DDE" w:rsidP="00486DDE">
      <w:pPr>
        <w:pStyle w:val="ListParagraph"/>
        <w:ind w:left="0"/>
        <w:jc w:val="both"/>
        <w:rPr>
          <w:rFonts w:ascii="Times New Roman" w:hAnsi="Times New Roman"/>
          <w:sz w:val="24"/>
          <w:szCs w:val="24"/>
        </w:rPr>
      </w:pPr>
    </w:p>
    <w:p w:rsidR="001E15DA" w:rsidRDefault="001E15DA" w:rsidP="00486DDE">
      <w:pPr>
        <w:pStyle w:val="ListParagraph"/>
        <w:ind w:left="0"/>
        <w:jc w:val="both"/>
        <w:rPr>
          <w:rFonts w:ascii="Times New Roman" w:hAnsi="Times New Roman"/>
          <w:sz w:val="24"/>
          <w:szCs w:val="24"/>
        </w:rPr>
      </w:pPr>
      <w:r w:rsidRPr="00D56FC3">
        <w:rPr>
          <w:rFonts w:ascii="Times New Roman" w:hAnsi="Times New Roman"/>
          <w:sz w:val="24"/>
          <w:szCs w:val="24"/>
        </w:rPr>
        <w:t xml:space="preserve">The follow-up survey will be </w:t>
      </w:r>
      <w:r>
        <w:rPr>
          <w:rFonts w:ascii="Times New Roman" w:hAnsi="Times New Roman"/>
          <w:sz w:val="24"/>
          <w:szCs w:val="24"/>
        </w:rPr>
        <w:t xml:space="preserve">scheduled nine months </w:t>
      </w:r>
      <w:r w:rsidRPr="00D56FC3">
        <w:rPr>
          <w:rFonts w:ascii="Times New Roman" w:hAnsi="Times New Roman"/>
          <w:sz w:val="24"/>
          <w:szCs w:val="24"/>
        </w:rPr>
        <w:t>after the end of the training period.  This is partly to give the intervention some time to work, and partly to gauge the status</w:t>
      </w:r>
      <w:r>
        <w:rPr>
          <w:rFonts w:ascii="Times New Roman" w:hAnsi="Times New Roman"/>
          <w:sz w:val="24"/>
          <w:szCs w:val="24"/>
        </w:rPr>
        <w:t xml:space="preserve"> of the </w:t>
      </w:r>
      <w:r w:rsidRPr="00D56FC3">
        <w:rPr>
          <w:rFonts w:ascii="Times New Roman" w:hAnsi="Times New Roman"/>
          <w:sz w:val="24"/>
          <w:szCs w:val="24"/>
        </w:rPr>
        <w:t xml:space="preserve">young women </w:t>
      </w:r>
      <w:r w:rsidRPr="00D56FC3">
        <w:rPr>
          <w:rFonts w:ascii="Times New Roman" w:hAnsi="Times New Roman"/>
          <w:i/>
          <w:sz w:val="24"/>
          <w:szCs w:val="24"/>
        </w:rPr>
        <w:t>after</w:t>
      </w:r>
      <w:r w:rsidRPr="00D56FC3">
        <w:rPr>
          <w:rFonts w:ascii="Times New Roman" w:hAnsi="Times New Roman"/>
          <w:sz w:val="24"/>
          <w:szCs w:val="24"/>
        </w:rPr>
        <w:t xml:space="preserve"> the six months of employment </w:t>
      </w:r>
      <w:r>
        <w:rPr>
          <w:rFonts w:ascii="Times New Roman" w:hAnsi="Times New Roman"/>
          <w:sz w:val="24"/>
          <w:szCs w:val="24"/>
        </w:rPr>
        <w:t>mandated by</w:t>
      </w:r>
      <w:r w:rsidRPr="00D56FC3">
        <w:rPr>
          <w:rFonts w:ascii="Times New Roman" w:hAnsi="Times New Roman"/>
          <w:sz w:val="24"/>
          <w:szCs w:val="24"/>
        </w:rPr>
        <w:t xml:space="preserve"> the T&amp;E provider’s contract. This longer period will also distinguish the indicators in the impact evaluation from those in the project’s monitoring framework, which end with the verification of employment and income at the six-month mark. </w:t>
      </w:r>
      <w:r>
        <w:rPr>
          <w:rFonts w:ascii="Times New Roman" w:hAnsi="Times New Roman"/>
          <w:sz w:val="24"/>
          <w:szCs w:val="24"/>
        </w:rPr>
        <w:t>The reason for not waiting longer to conduct the follow-up (for example, 12 months after training) is to increase the probability that the survey team will be able to find and follow-up with the respondent</w:t>
      </w:r>
      <w:r w:rsidR="00486DDE">
        <w:rPr>
          <w:rFonts w:ascii="Times New Roman" w:hAnsi="Times New Roman"/>
          <w:sz w:val="24"/>
          <w:szCs w:val="24"/>
        </w:rPr>
        <w:t>s, and to ensure that follow-up occurs for as many respondents as possible before the project ends</w:t>
      </w:r>
      <w:r>
        <w:rPr>
          <w:rFonts w:ascii="Times New Roman" w:hAnsi="Times New Roman"/>
          <w:sz w:val="24"/>
          <w:szCs w:val="24"/>
        </w:rPr>
        <w:t xml:space="preserve">. </w:t>
      </w:r>
    </w:p>
    <w:p w:rsidR="00486DDE" w:rsidRPr="00486DDE" w:rsidRDefault="00486DDE" w:rsidP="00486DDE">
      <w:pPr>
        <w:pStyle w:val="ListParagraph"/>
        <w:ind w:left="0"/>
        <w:jc w:val="both"/>
        <w:rPr>
          <w:rFonts w:ascii="Times New Roman" w:hAnsi="Times New Roman"/>
          <w:sz w:val="24"/>
          <w:szCs w:val="24"/>
        </w:rPr>
      </w:pPr>
    </w:p>
    <w:p w:rsidR="00BF293E" w:rsidRPr="001E15DA" w:rsidRDefault="008608FE" w:rsidP="001E15DA">
      <w:pPr>
        <w:pStyle w:val="ListParagraph"/>
        <w:numPr>
          <w:ilvl w:val="0"/>
          <w:numId w:val="10"/>
        </w:numPr>
        <w:jc w:val="both"/>
        <w:rPr>
          <w:rFonts w:ascii="Times New Roman" w:hAnsi="Times New Roman"/>
          <w:sz w:val="24"/>
          <w:szCs w:val="24"/>
        </w:rPr>
      </w:pPr>
      <w:r w:rsidRPr="00C17381">
        <w:rPr>
          <w:rFonts w:ascii="Times New Roman" w:hAnsi="Times New Roman"/>
          <w:b/>
          <w:sz w:val="24"/>
          <w:szCs w:val="24"/>
        </w:rPr>
        <w:t>Expected Outputs</w:t>
      </w:r>
    </w:p>
    <w:p w:rsidR="00D7183A" w:rsidRPr="00D7183A" w:rsidRDefault="001E15DA" w:rsidP="007941C2">
      <w:pPr>
        <w:jc w:val="both"/>
        <w:rPr>
          <w:rFonts w:ascii="Times New Roman" w:hAnsi="Times New Roman"/>
          <w:color w:val="0D0D0D"/>
          <w:sz w:val="24"/>
          <w:szCs w:val="24"/>
        </w:rPr>
      </w:pPr>
      <w:r>
        <w:rPr>
          <w:rFonts w:ascii="Times New Roman" w:hAnsi="Times New Roman"/>
          <w:color w:val="0D0D0D"/>
          <w:sz w:val="24"/>
          <w:szCs w:val="24"/>
        </w:rPr>
        <w:t xml:space="preserve">The Bank’s impact evaluation team will prepare at least four types of outputs. First, there will be reports which feed into the monitoring system of the project, to ensure alignment with the project’s results framework. Examples of this type of output include a </w:t>
      </w:r>
      <w:r w:rsidRPr="008766A3">
        <w:rPr>
          <w:rFonts w:ascii="Times New Roman" w:hAnsi="Times New Roman"/>
          <w:color w:val="0D0D0D"/>
          <w:sz w:val="24"/>
          <w:szCs w:val="24"/>
        </w:rPr>
        <w:t>baseline data report to examine the characteristics of participants</w:t>
      </w:r>
      <w:r>
        <w:rPr>
          <w:rFonts w:ascii="Times New Roman" w:hAnsi="Times New Roman"/>
          <w:color w:val="0D0D0D"/>
          <w:sz w:val="24"/>
          <w:szCs w:val="24"/>
        </w:rPr>
        <w:t xml:space="preserve"> in the first year of project implementation</w:t>
      </w:r>
      <w:r w:rsidRPr="008766A3">
        <w:rPr>
          <w:rFonts w:ascii="Times New Roman" w:hAnsi="Times New Roman"/>
          <w:color w:val="0D0D0D"/>
          <w:sz w:val="24"/>
          <w:szCs w:val="24"/>
        </w:rPr>
        <w:t>.</w:t>
      </w:r>
      <w:r>
        <w:rPr>
          <w:rFonts w:ascii="Times New Roman" w:hAnsi="Times New Roman"/>
          <w:color w:val="0D0D0D"/>
          <w:sz w:val="24"/>
          <w:szCs w:val="24"/>
        </w:rPr>
        <w:t xml:space="preserve"> Second, the evaluation will produce a</w:t>
      </w:r>
      <w:r w:rsidRPr="008766A3">
        <w:rPr>
          <w:rFonts w:ascii="Times New Roman" w:hAnsi="Times New Roman"/>
          <w:color w:val="0D0D0D"/>
          <w:sz w:val="24"/>
          <w:szCs w:val="24"/>
        </w:rPr>
        <w:t xml:space="preserve"> set of analytical reports, to be prepared after follow-up data collection</w:t>
      </w:r>
      <w:r>
        <w:rPr>
          <w:rFonts w:ascii="Times New Roman" w:hAnsi="Times New Roman"/>
          <w:color w:val="0D0D0D"/>
          <w:sz w:val="24"/>
          <w:szCs w:val="24"/>
        </w:rPr>
        <w:t>. These analytical reports will be shared with the EF, the T&amp;E providers, and the Bank team to provide direct feedback into their program and operations. Third, the results of this evaluation along with the evaluations of the other 4 AGI projects in Liberia, Rwanda, Afghanistan, and will be consolidated to provide comparative, cross-country evidence on the successes and lessons learned of the overall Initiative. Fourth and finally, p</w:t>
      </w:r>
      <w:r w:rsidRPr="00E1387F">
        <w:rPr>
          <w:rFonts w:ascii="Times New Roman" w:hAnsi="Times New Roman"/>
          <w:color w:val="0D0D0D"/>
          <w:sz w:val="24"/>
          <w:szCs w:val="24"/>
        </w:rPr>
        <w:t xml:space="preserve">olicy notes and academic articles will be </w:t>
      </w:r>
      <w:r>
        <w:rPr>
          <w:rFonts w:ascii="Times New Roman" w:hAnsi="Times New Roman"/>
          <w:color w:val="0D0D0D"/>
          <w:sz w:val="24"/>
          <w:szCs w:val="24"/>
        </w:rPr>
        <w:t xml:space="preserve">prepared for </w:t>
      </w:r>
      <w:r w:rsidRPr="00E1387F">
        <w:rPr>
          <w:rFonts w:ascii="Times New Roman" w:hAnsi="Times New Roman"/>
          <w:color w:val="0D0D0D"/>
          <w:sz w:val="24"/>
          <w:szCs w:val="24"/>
        </w:rPr>
        <w:t>disseminat</w:t>
      </w:r>
      <w:r>
        <w:rPr>
          <w:rFonts w:ascii="Times New Roman" w:hAnsi="Times New Roman"/>
          <w:color w:val="0D0D0D"/>
          <w:sz w:val="24"/>
          <w:szCs w:val="24"/>
        </w:rPr>
        <w:t>ion</w:t>
      </w:r>
      <w:r w:rsidRPr="00E1387F">
        <w:rPr>
          <w:rFonts w:ascii="Times New Roman" w:hAnsi="Times New Roman"/>
          <w:color w:val="0D0D0D"/>
          <w:sz w:val="24"/>
          <w:szCs w:val="24"/>
        </w:rPr>
        <w:t xml:space="preserve"> to a wide audience, in</w:t>
      </w:r>
      <w:r>
        <w:rPr>
          <w:rFonts w:ascii="Times New Roman" w:hAnsi="Times New Roman"/>
          <w:color w:val="0D0D0D"/>
          <w:sz w:val="24"/>
          <w:szCs w:val="24"/>
        </w:rPr>
        <w:t xml:space="preserve">cluding policy-makers in Nepal, in order to share </w:t>
      </w:r>
      <w:r w:rsidRPr="00E1387F">
        <w:rPr>
          <w:rFonts w:ascii="Times New Roman" w:hAnsi="Times New Roman"/>
          <w:color w:val="0D0D0D"/>
          <w:sz w:val="24"/>
          <w:szCs w:val="24"/>
        </w:rPr>
        <w:t xml:space="preserve">the findings </w:t>
      </w:r>
      <w:r>
        <w:rPr>
          <w:rFonts w:ascii="Times New Roman" w:hAnsi="Times New Roman"/>
          <w:color w:val="0D0D0D"/>
          <w:sz w:val="24"/>
          <w:szCs w:val="24"/>
        </w:rPr>
        <w:t>with</w:t>
      </w:r>
      <w:r w:rsidRPr="00E1387F">
        <w:rPr>
          <w:rFonts w:ascii="Times New Roman" w:hAnsi="Times New Roman"/>
          <w:color w:val="0D0D0D"/>
          <w:sz w:val="24"/>
          <w:szCs w:val="24"/>
        </w:rPr>
        <w:t xml:space="preserve"> key stakeholders within and external to the Bank. These findings will also </w:t>
      </w:r>
      <w:r w:rsidRPr="00E1387F">
        <w:rPr>
          <w:rFonts w:ascii="Times New Roman" w:hAnsi="Times New Roman"/>
          <w:color w:val="0D0D0D"/>
          <w:sz w:val="24"/>
          <w:szCs w:val="24"/>
        </w:rPr>
        <w:lastRenderedPageBreak/>
        <w:t>be presented at conferences</w:t>
      </w:r>
      <w:r>
        <w:rPr>
          <w:rFonts w:ascii="Times New Roman" w:hAnsi="Times New Roman"/>
          <w:color w:val="0D0D0D"/>
          <w:sz w:val="24"/>
          <w:szCs w:val="24"/>
        </w:rPr>
        <w:t xml:space="preserve"> and workshops</w:t>
      </w:r>
      <w:r w:rsidRPr="00E1387F">
        <w:rPr>
          <w:rFonts w:ascii="Times New Roman" w:hAnsi="Times New Roman"/>
          <w:color w:val="0D0D0D"/>
          <w:sz w:val="24"/>
          <w:szCs w:val="24"/>
        </w:rPr>
        <w:t>, with the goal of influencing the design and implementation of future economic empowerment programs.</w:t>
      </w:r>
    </w:p>
    <w:p w:rsidR="001E15DA" w:rsidRDefault="001E15DA" w:rsidP="00BF293E">
      <w:pPr>
        <w:pStyle w:val="BodyText"/>
        <w:numPr>
          <w:ilvl w:val="0"/>
          <w:numId w:val="10"/>
        </w:numPr>
        <w:rPr>
          <w:rFonts w:ascii="Times New Roman" w:hAnsi="Times New Roman"/>
          <w:b/>
          <w:sz w:val="24"/>
          <w:szCs w:val="24"/>
        </w:rPr>
      </w:pPr>
      <w:r>
        <w:rPr>
          <w:rFonts w:ascii="Times New Roman" w:hAnsi="Times New Roman"/>
          <w:b/>
          <w:sz w:val="24"/>
          <w:szCs w:val="24"/>
        </w:rPr>
        <w:t>Risks and Limitations</w:t>
      </w:r>
    </w:p>
    <w:p w:rsidR="001E15DA" w:rsidRDefault="001E15DA" w:rsidP="001E15DA">
      <w:pPr>
        <w:pStyle w:val="BodyText"/>
        <w:rPr>
          <w:rFonts w:ascii="Times New Roman" w:hAnsi="Times New Roman"/>
          <w:sz w:val="24"/>
          <w:szCs w:val="24"/>
        </w:rPr>
      </w:pPr>
      <w:r w:rsidRPr="00534A34">
        <w:rPr>
          <w:rFonts w:ascii="Times New Roman" w:hAnsi="Times New Roman"/>
          <w:i/>
          <w:sz w:val="24"/>
          <w:szCs w:val="24"/>
        </w:rPr>
        <w:t>External Validity</w:t>
      </w:r>
      <w:r>
        <w:rPr>
          <w:rFonts w:ascii="Times New Roman" w:hAnsi="Times New Roman"/>
          <w:sz w:val="24"/>
          <w:szCs w:val="24"/>
        </w:rPr>
        <w:t xml:space="preserve">: Given the AGEI’s size and national scope, the results from this evaluation will potentially validate an effective and replicable model of an innovative approach to women’s empowerment. Furthermore, by </w:t>
      </w:r>
      <w:r w:rsidR="00486DDE">
        <w:rPr>
          <w:rFonts w:ascii="Times New Roman" w:hAnsi="Times New Roman"/>
          <w:sz w:val="24"/>
          <w:szCs w:val="24"/>
        </w:rPr>
        <w:t xml:space="preserve">including individuals outside of the AGEI target population (girls aged 16-24), this evaluation can examine the relative effectiveness of the program on different demographic groups. Also, by </w:t>
      </w:r>
      <w:r>
        <w:rPr>
          <w:rFonts w:ascii="Times New Roman" w:hAnsi="Times New Roman"/>
          <w:sz w:val="24"/>
          <w:szCs w:val="24"/>
        </w:rPr>
        <w:t xml:space="preserve">combining the results from this evaluation with those from the other AGI countries, this effort is uniquely positioned to produce a set of policy recommendations to inform existing and future programs. </w:t>
      </w:r>
      <w:r w:rsidR="00486DDE">
        <w:rPr>
          <w:rFonts w:ascii="Times New Roman" w:hAnsi="Times New Roman"/>
          <w:sz w:val="24"/>
          <w:szCs w:val="24"/>
        </w:rPr>
        <w:t xml:space="preserve">However, </w:t>
      </w:r>
      <w:r>
        <w:rPr>
          <w:rFonts w:ascii="Times New Roman" w:hAnsi="Times New Roman"/>
          <w:sz w:val="24"/>
          <w:szCs w:val="24"/>
        </w:rPr>
        <w:t xml:space="preserve">while the evaluation can provide insight into what components of the program are most successful, it will not explicitly test the EF model against other training models, nor will it test the individual components (training, placement, etc.) separately. </w:t>
      </w:r>
    </w:p>
    <w:p w:rsidR="001E15DA" w:rsidRDefault="00BD4A3A" w:rsidP="001E15DA">
      <w:pPr>
        <w:pStyle w:val="BodyText"/>
        <w:rPr>
          <w:rFonts w:ascii="Times New Roman" w:hAnsi="Times New Roman"/>
          <w:sz w:val="24"/>
          <w:szCs w:val="24"/>
        </w:rPr>
      </w:pPr>
      <w:r w:rsidRPr="00BD4A3A">
        <w:rPr>
          <w:rFonts w:ascii="Times New Roman" w:hAnsi="Times New Roman"/>
          <w:i/>
          <w:sz w:val="24"/>
          <w:szCs w:val="24"/>
        </w:rPr>
        <w:t>Risks</w:t>
      </w:r>
      <w:r>
        <w:rPr>
          <w:rFonts w:ascii="Times New Roman" w:hAnsi="Times New Roman"/>
          <w:sz w:val="24"/>
          <w:szCs w:val="24"/>
        </w:rPr>
        <w:t xml:space="preserve">: </w:t>
      </w:r>
      <w:r w:rsidR="001E15DA">
        <w:rPr>
          <w:rFonts w:ascii="Times New Roman" w:hAnsi="Times New Roman"/>
          <w:sz w:val="24"/>
          <w:szCs w:val="24"/>
        </w:rPr>
        <w:t xml:space="preserve">The proposed design of this evaluation will need to be flexible enough to adapt to the realities of project implementation. Once the program begins, the evaluation team will pay close attention to the numbers of trainees enrolled into the program, refusal rates among targeted evaluation participants (especially from the control group), the adherence among the </w:t>
      </w:r>
      <w:r w:rsidR="00486DDE">
        <w:rPr>
          <w:rFonts w:ascii="Times New Roman" w:hAnsi="Times New Roman"/>
          <w:sz w:val="24"/>
          <w:szCs w:val="24"/>
        </w:rPr>
        <w:t>training</w:t>
      </w:r>
      <w:r w:rsidR="001E15DA">
        <w:rPr>
          <w:rFonts w:ascii="Times New Roman" w:hAnsi="Times New Roman"/>
          <w:sz w:val="24"/>
          <w:szCs w:val="24"/>
        </w:rPr>
        <w:t xml:space="preserve"> providers to the standardized selection criteria, and other implementation details. Sufficient numbers of individuals from the target population need to apply for the program to ensure construction of a sizeable control group. If sufficient numbers of women are not enrolled in the evaluation study, especially in the control group, various measures can be taken: advertising and recruitment efforts can be bolstered, </w:t>
      </w:r>
      <w:r w:rsidR="009571AB">
        <w:rPr>
          <w:rFonts w:ascii="Times New Roman" w:hAnsi="Times New Roman"/>
          <w:sz w:val="24"/>
          <w:szCs w:val="24"/>
        </w:rPr>
        <w:t xml:space="preserve">and </w:t>
      </w:r>
      <w:r w:rsidR="001E15DA">
        <w:rPr>
          <w:rFonts w:ascii="Times New Roman" w:hAnsi="Times New Roman"/>
          <w:sz w:val="24"/>
          <w:szCs w:val="24"/>
        </w:rPr>
        <w:t xml:space="preserve">the </w:t>
      </w:r>
      <w:r w:rsidR="009571AB">
        <w:rPr>
          <w:rFonts w:ascii="Times New Roman" w:hAnsi="Times New Roman"/>
          <w:sz w:val="24"/>
          <w:szCs w:val="24"/>
        </w:rPr>
        <w:t>t</w:t>
      </w:r>
      <w:r w:rsidR="00534A34">
        <w:rPr>
          <w:rFonts w:ascii="Times New Roman" w:hAnsi="Times New Roman"/>
          <w:sz w:val="24"/>
          <w:szCs w:val="24"/>
        </w:rPr>
        <w:t xml:space="preserve">raining </w:t>
      </w:r>
      <w:r w:rsidR="009571AB">
        <w:rPr>
          <w:rFonts w:ascii="Times New Roman" w:hAnsi="Times New Roman"/>
          <w:sz w:val="24"/>
          <w:szCs w:val="24"/>
        </w:rPr>
        <w:t>p</w:t>
      </w:r>
      <w:r w:rsidR="001E15DA">
        <w:rPr>
          <w:rFonts w:ascii="Times New Roman" w:hAnsi="Times New Roman"/>
          <w:sz w:val="24"/>
          <w:szCs w:val="24"/>
        </w:rPr>
        <w:t>roviders can receive further training on how to screen applicants acc</w:t>
      </w:r>
      <w:r w:rsidR="009571AB">
        <w:rPr>
          <w:rFonts w:ascii="Times New Roman" w:hAnsi="Times New Roman"/>
          <w:sz w:val="24"/>
          <w:szCs w:val="24"/>
        </w:rPr>
        <w:t>ording to the standard criteria</w:t>
      </w:r>
      <w:r w:rsidR="00486DDE">
        <w:rPr>
          <w:rFonts w:ascii="Times New Roman" w:hAnsi="Times New Roman"/>
          <w:sz w:val="24"/>
          <w:szCs w:val="24"/>
        </w:rPr>
        <w:t xml:space="preserve">. </w:t>
      </w:r>
      <w:r w:rsidR="009571AB">
        <w:rPr>
          <w:rFonts w:ascii="Times New Roman" w:hAnsi="Times New Roman"/>
          <w:sz w:val="24"/>
          <w:szCs w:val="24"/>
        </w:rPr>
        <w:t xml:space="preserve">If the RD design proves unworkable, because of lack of adherence to the strict scoring criteria, the evaluation can instead employ propensity score matching techniques, which will be made easier with the detailed </w:t>
      </w:r>
      <w:r w:rsidR="00486DDE">
        <w:rPr>
          <w:rFonts w:ascii="Times New Roman" w:hAnsi="Times New Roman"/>
          <w:sz w:val="24"/>
          <w:szCs w:val="24"/>
        </w:rPr>
        <w:t>scoring information collected from training providers and the data gathered at baseline</w:t>
      </w:r>
      <w:r w:rsidR="009571AB">
        <w:rPr>
          <w:rFonts w:ascii="Times New Roman" w:hAnsi="Times New Roman"/>
          <w:sz w:val="24"/>
          <w:szCs w:val="24"/>
        </w:rPr>
        <w:t xml:space="preserve">. </w:t>
      </w:r>
    </w:p>
    <w:p w:rsidR="001E15DA" w:rsidRDefault="00BD4A3A" w:rsidP="001E15DA">
      <w:pPr>
        <w:pStyle w:val="BodyText"/>
        <w:rPr>
          <w:rFonts w:ascii="Times New Roman" w:hAnsi="Times New Roman"/>
          <w:sz w:val="24"/>
          <w:szCs w:val="24"/>
        </w:rPr>
      </w:pPr>
      <w:r w:rsidRPr="00BD4A3A">
        <w:rPr>
          <w:rFonts w:ascii="Times New Roman" w:hAnsi="Times New Roman"/>
          <w:i/>
          <w:sz w:val="24"/>
          <w:szCs w:val="24"/>
        </w:rPr>
        <w:t>Ethical Considerations</w:t>
      </w:r>
      <w:r>
        <w:rPr>
          <w:rFonts w:ascii="Times New Roman" w:hAnsi="Times New Roman"/>
          <w:sz w:val="24"/>
          <w:szCs w:val="24"/>
        </w:rPr>
        <w:t xml:space="preserve">: </w:t>
      </w:r>
      <w:r w:rsidR="001E15DA">
        <w:rPr>
          <w:rFonts w:ascii="Times New Roman" w:hAnsi="Times New Roman"/>
          <w:sz w:val="24"/>
          <w:szCs w:val="24"/>
        </w:rPr>
        <w:t>The evaluation study will be conducted in line with international standards for ethical research. All potential respondents will be asked to provide voluntary informed consent before enrolling in the study. Her choice to enroll in the study or not will not affect her status in the AGEI. Further, any respondent can terminate her participation in the research study at any time and will be free to refuse to answer any question at any time. The respondents’ answers to survey questions will be kept confidential at all times and will only be reported in aggregate terms. Finally, survey enumerators will be trained thoroughly on the proper methods of engaging with respondents, respecting confidentiality, and eliciting truthful information, particularly on sensitive topics.</w:t>
      </w:r>
    </w:p>
    <w:p w:rsidR="009B48BE" w:rsidRDefault="009B48BE" w:rsidP="001E15DA">
      <w:pPr>
        <w:pStyle w:val="BodyText"/>
        <w:rPr>
          <w:rFonts w:ascii="Times New Roman" w:hAnsi="Times New Roman"/>
          <w:sz w:val="24"/>
          <w:szCs w:val="24"/>
        </w:rPr>
      </w:pPr>
    </w:p>
    <w:p w:rsidR="009B48BE" w:rsidRDefault="009B48BE" w:rsidP="001E15DA">
      <w:pPr>
        <w:pStyle w:val="BodyText"/>
        <w:rPr>
          <w:rFonts w:ascii="Times New Roman" w:hAnsi="Times New Roman"/>
          <w:b/>
          <w:sz w:val="24"/>
          <w:szCs w:val="24"/>
        </w:rPr>
      </w:pPr>
    </w:p>
    <w:p w:rsidR="008F4A79" w:rsidRDefault="008F4A79" w:rsidP="00BF293E">
      <w:pPr>
        <w:pStyle w:val="BodyText"/>
        <w:numPr>
          <w:ilvl w:val="0"/>
          <w:numId w:val="10"/>
        </w:numPr>
        <w:rPr>
          <w:rFonts w:ascii="Times New Roman" w:hAnsi="Times New Roman"/>
          <w:b/>
          <w:sz w:val="24"/>
          <w:szCs w:val="24"/>
        </w:rPr>
      </w:pPr>
      <w:r>
        <w:rPr>
          <w:rFonts w:ascii="Times New Roman" w:hAnsi="Times New Roman"/>
          <w:b/>
          <w:sz w:val="24"/>
          <w:szCs w:val="24"/>
        </w:rPr>
        <w:lastRenderedPageBreak/>
        <w:t>Estimated Budget</w:t>
      </w:r>
    </w:p>
    <w:tbl>
      <w:tblPr>
        <w:tblStyle w:val="TableGrid"/>
        <w:tblW w:w="9591" w:type="dxa"/>
        <w:tblLook w:val="04A0"/>
      </w:tblPr>
      <w:tblGrid>
        <w:gridCol w:w="5238"/>
        <w:gridCol w:w="2250"/>
        <w:gridCol w:w="2103"/>
      </w:tblGrid>
      <w:tr w:rsidR="003207E8" w:rsidTr="00AF2623">
        <w:trPr>
          <w:trHeight w:val="319"/>
        </w:trPr>
        <w:tc>
          <w:tcPr>
            <w:tcW w:w="5238"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Activity</w:t>
            </w:r>
          </w:p>
        </w:tc>
        <w:tc>
          <w:tcPr>
            <w:tcW w:w="2250"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Timing</w:t>
            </w:r>
          </w:p>
        </w:tc>
        <w:tc>
          <w:tcPr>
            <w:tcW w:w="2103"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Estimated amount (USD)</w:t>
            </w:r>
          </w:p>
        </w:tc>
      </w:tr>
      <w:tr w:rsidR="003207E8" w:rsidTr="00AF2623">
        <w:trPr>
          <w:trHeight w:val="310"/>
        </w:trPr>
        <w:tc>
          <w:tcPr>
            <w:tcW w:w="5238"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First baseline survey</w:t>
            </w:r>
          </w:p>
        </w:tc>
        <w:tc>
          <w:tcPr>
            <w:tcW w:w="2250"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Feb-May 2010</w:t>
            </w:r>
          </w:p>
        </w:tc>
        <w:tc>
          <w:tcPr>
            <w:tcW w:w="2103" w:type="dxa"/>
          </w:tcPr>
          <w:p w:rsidR="003207E8" w:rsidRDefault="003207E8" w:rsidP="003207E8">
            <w:pPr>
              <w:pStyle w:val="BodyText"/>
              <w:spacing w:line="240" w:lineRule="auto"/>
              <w:jc w:val="left"/>
              <w:rPr>
                <w:rFonts w:ascii="Times New Roman" w:hAnsi="Times New Roman"/>
                <w:sz w:val="24"/>
                <w:szCs w:val="24"/>
              </w:rPr>
            </w:pPr>
          </w:p>
        </w:tc>
      </w:tr>
      <w:tr w:rsidR="003207E8" w:rsidTr="00AF2623">
        <w:trPr>
          <w:trHeight w:val="310"/>
        </w:trPr>
        <w:tc>
          <w:tcPr>
            <w:tcW w:w="5238"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Second baseline survey</w:t>
            </w:r>
          </w:p>
        </w:tc>
        <w:tc>
          <w:tcPr>
            <w:tcW w:w="2250"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Feb -May 2011</w:t>
            </w:r>
          </w:p>
        </w:tc>
        <w:tc>
          <w:tcPr>
            <w:tcW w:w="2103" w:type="dxa"/>
          </w:tcPr>
          <w:p w:rsidR="003207E8" w:rsidRDefault="003207E8" w:rsidP="003207E8">
            <w:pPr>
              <w:pStyle w:val="BodyText"/>
              <w:spacing w:line="240" w:lineRule="auto"/>
              <w:jc w:val="left"/>
              <w:rPr>
                <w:rFonts w:ascii="Times New Roman" w:hAnsi="Times New Roman"/>
                <w:sz w:val="24"/>
                <w:szCs w:val="24"/>
              </w:rPr>
            </w:pPr>
          </w:p>
        </w:tc>
      </w:tr>
      <w:tr w:rsidR="003207E8" w:rsidTr="00AF2623">
        <w:trPr>
          <w:trHeight w:val="310"/>
        </w:trPr>
        <w:tc>
          <w:tcPr>
            <w:tcW w:w="5238"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First follow-up survey</w:t>
            </w:r>
          </w:p>
        </w:tc>
        <w:tc>
          <w:tcPr>
            <w:tcW w:w="2250"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Feb-May 2011</w:t>
            </w:r>
          </w:p>
        </w:tc>
        <w:tc>
          <w:tcPr>
            <w:tcW w:w="2103" w:type="dxa"/>
          </w:tcPr>
          <w:p w:rsidR="003207E8" w:rsidRDefault="003207E8" w:rsidP="003207E8">
            <w:pPr>
              <w:pStyle w:val="BodyText"/>
              <w:spacing w:line="240" w:lineRule="auto"/>
              <w:jc w:val="left"/>
              <w:rPr>
                <w:rFonts w:ascii="Times New Roman" w:hAnsi="Times New Roman"/>
                <w:sz w:val="24"/>
                <w:szCs w:val="24"/>
              </w:rPr>
            </w:pPr>
          </w:p>
        </w:tc>
      </w:tr>
      <w:tr w:rsidR="003207E8" w:rsidTr="00AF2623">
        <w:trPr>
          <w:trHeight w:val="319"/>
        </w:trPr>
        <w:tc>
          <w:tcPr>
            <w:tcW w:w="5238"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Third baseline survey</w:t>
            </w:r>
          </w:p>
        </w:tc>
        <w:tc>
          <w:tcPr>
            <w:tcW w:w="2250"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Feb- May 2012</w:t>
            </w:r>
          </w:p>
        </w:tc>
        <w:tc>
          <w:tcPr>
            <w:tcW w:w="2103" w:type="dxa"/>
          </w:tcPr>
          <w:p w:rsidR="003207E8" w:rsidRDefault="003207E8" w:rsidP="003207E8">
            <w:pPr>
              <w:pStyle w:val="BodyText"/>
              <w:spacing w:line="240" w:lineRule="auto"/>
              <w:jc w:val="left"/>
              <w:rPr>
                <w:rFonts w:ascii="Times New Roman" w:hAnsi="Times New Roman"/>
                <w:sz w:val="24"/>
                <w:szCs w:val="24"/>
              </w:rPr>
            </w:pPr>
          </w:p>
        </w:tc>
      </w:tr>
      <w:tr w:rsidR="003207E8" w:rsidTr="00AF2623">
        <w:trPr>
          <w:trHeight w:val="319"/>
        </w:trPr>
        <w:tc>
          <w:tcPr>
            <w:tcW w:w="5238"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Second follow-up survey (of all 2011 respondents plus half of 2010 respondents)</w:t>
            </w:r>
          </w:p>
        </w:tc>
        <w:tc>
          <w:tcPr>
            <w:tcW w:w="2250"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Feb- May 2012</w:t>
            </w:r>
          </w:p>
        </w:tc>
        <w:tc>
          <w:tcPr>
            <w:tcW w:w="2103" w:type="dxa"/>
          </w:tcPr>
          <w:p w:rsidR="003207E8" w:rsidRDefault="003207E8" w:rsidP="003207E8">
            <w:pPr>
              <w:pStyle w:val="BodyText"/>
              <w:spacing w:line="240" w:lineRule="auto"/>
              <w:jc w:val="left"/>
              <w:rPr>
                <w:rFonts w:ascii="Times New Roman" w:hAnsi="Times New Roman"/>
                <w:sz w:val="24"/>
                <w:szCs w:val="24"/>
              </w:rPr>
            </w:pPr>
          </w:p>
        </w:tc>
      </w:tr>
      <w:tr w:rsidR="003207E8" w:rsidTr="00AF2623">
        <w:trPr>
          <w:trHeight w:val="319"/>
        </w:trPr>
        <w:tc>
          <w:tcPr>
            <w:tcW w:w="5238" w:type="dxa"/>
          </w:tcPr>
          <w:p w:rsidR="003207E8" w:rsidRDefault="003207E8" w:rsidP="00D827B1">
            <w:pPr>
              <w:pStyle w:val="BodyText"/>
              <w:spacing w:line="240" w:lineRule="auto"/>
              <w:jc w:val="left"/>
              <w:rPr>
                <w:rFonts w:ascii="Times New Roman" w:hAnsi="Times New Roman"/>
                <w:sz w:val="24"/>
                <w:szCs w:val="24"/>
              </w:rPr>
            </w:pPr>
            <w:r>
              <w:rPr>
                <w:rFonts w:ascii="Times New Roman" w:hAnsi="Times New Roman"/>
                <w:sz w:val="24"/>
                <w:szCs w:val="24"/>
              </w:rPr>
              <w:t>Third follow-up survey (including all 2012 respondents, plus half of 2010 respondents)</w:t>
            </w:r>
          </w:p>
        </w:tc>
        <w:tc>
          <w:tcPr>
            <w:tcW w:w="2250"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Feb-May 2013</w:t>
            </w:r>
          </w:p>
        </w:tc>
        <w:tc>
          <w:tcPr>
            <w:tcW w:w="2103" w:type="dxa"/>
          </w:tcPr>
          <w:p w:rsidR="003207E8" w:rsidRDefault="003207E8" w:rsidP="003207E8">
            <w:pPr>
              <w:pStyle w:val="BodyText"/>
              <w:spacing w:line="240" w:lineRule="auto"/>
              <w:jc w:val="left"/>
              <w:rPr>
                <w:rFonts w:ascii="Times New Roman" w:hAnsi="Times New Roman"/>
                <w:sz w:val="24"/>
                <w:szCs w:val="24"/>
              </w:rPr>
            </w:pPr>
          </w:p>
        </w:tc>
      </w:tr>
      <w:tr w:rsidR="003207E8" w:rsidTr="00AF2623">
        <w:trPr>
          <w:trHeight w:val="319"/>
        </w:trPr>
        <w:tc>
          <w:tcPr>
            <w:tcW w:w="5238" w:type="dxa"/>
          </w:tcPr>
          <w:p w:rsidR="003207E8" w:rsidRDefault="003207E8" w:rsidP="003207E8">
            <w:pPr>
              <w:pStyle w:val="BodyText"/>
              <w:spacing w:line="240" w:lineRule="auto"/>
              <w:jc w:val="left"/>
              <w:rPr>
                <w:rFonts w:ascii="Times New Roman" w:hAnsi="Times New Roman"/>
                <w:sz w:val="24"/>
                <w:szCs w:val="24"/>
              </w:rPr>
            </w:pPr>
          </w:p>
        </w:tc>
        <w:tc>
          <w:tcPr>
            <w:tcW w:w="2250" w:type="dxa"/>
          </w:tcPr>
          <w:p w:rsidR="003207E8" w:rsidRDefault="003207E8" w:rsidP="003207E8">
            <w:pPr>
              <w:pStyle w:val="BodyText"/>
              <w:spacing w:line="240" w:lineRule="auto"/>
              <w:jc w:val="left"/>
              <w:rPr>
                <w:rFonts w:ascii="Times New Roman" w:hAnsi="Times New Roman"/>
                <w:sz w:val="24"/>
                <w:szCs w:val="24"/>
              </w:rPr>
            </w:pPr>
            <w:r>
              <w:rPr>
                <w:rFonts w:ascii="Times New Roman" w:hAnsi="Times New Roman"/>
                <w:sz w:val="24"/>
                <w:szCs w:val="24"/>
              </w:rPr>
              <w:t>TOTAL</w:t>
            </w:r>
          </w:p>
        </w:tc>
        <w:tc>
          <w:tcPr>
            <w:tcW w:w="2103" w:type="dxa"/>
          </w:tcPr>
          <w:p w:rsidR="003207E8" w:rsidRDefault="003207E8" w:rsidP="003207E8">
            <w:pPr>
              <w:pStyle w:val="BodyText"/>
              <w:spacing w:line="240" w:lineRule="auto"/>
              <w:jc w:val="left"/>
              <w:rPr>
                <w:rFonts w:ascii="Times New Roman" w:hAnsi="Times New Roman"/>
                <w:sz w:val="24"/>
                <w:szCs w:val="24"/>
              </w:rPr>
            </w:pPr>
          </w:p>
        </w:tc>
      </w:tr>
    </w:tbl>
    <w:p w:rsidR="008F4A79" w:rsidRPr="008F4A79" w:rsidRDefault="008F4A79" w:rsidP="008F4A79">
      <w:pPr>
        <w:pStyle w:val="BodyText"/>
        <w:rPr>
          <w:rFonts w:ascii="Times New Roman" w:hAnsi="Times New Roman"/>
          <w:sz w:val="24"/>
          <w:szCs w:val="24"/>
        </w:rPr>
      </w:pPr>
    </w:p>
    <w:p w:rsidR="00BF293E" w:rsidRDefault="008608FE" w:rsidP="00BF293E">
      <w:pPr>
        <w:pStyle w:val="BodyText"/>
        <w:numPr>
          <w:ilvl w:val="0"/>
          <w:numId w:val="10"/>
        </w:numPr>
        <w:rPr>
          <w:rFonts w:ascii="Times New Roman" w:hAnsi="Times New Roman"/>
          <w:b/>
          <w:sz w:val="24"/>
          <w:szCs w:val="24"/>
        </w:rPr>
      </w:pPr>
      <w:r w:rsidRPr="00BF293E">
        <w:rPr>
          <w:rFonts w:ascii="Times New Roman" w:hAnsi="Times New Roman"/>
          <w:b/>
          <w:sz w:val="24"/>
          <w:szCs w:val="24"/>
        </w:rPr>
        <w:t xml:space="preserve">Impact </w:t>
      </w:r>
      <w:r w:rsidR="00F07C6B" w:rsidRPr="00BF293E">
        <w:rPr>
          <w:rFonts w:ascii="Times New Roman" w:hAnsi="Times New Roman"/>
          <w:b/>
          <w:sz w:val="24"/>
          <w:szCs w:val="24"/>
        </w:rPr>
        <w:t>Evaluation Team</w:t>
      </w:r>
    </w:p>
    <w:p w:rsidR="00DA2D4B" w:rsidRPr="00A74957" w:rsidRDefault="00BF293E" w:rsidP="00534A34">
      <w:pPr>
        <w:pStyle w:val="BodyText"/>
        <w:rPr>
          <w:rFonts w:ascii="Times New Roman" w:hAnsi="Times New Roman"/>
          <w:sz w:val="24"/>
          <w:szCs w:val="24"/>
        </w:rPr>
      </w:pPr>
      <w:r w:rsidRPr="00BF293E">
        <w:rPr>
          <w:rFonts w:ascii="Times New Roman" w:hAnsi="Times New Roman"/>
          <w:sz w:val="24"/>
          <w:szCs w:val="24"/>
        </w:rPr>
        <w:t xml:space="preserve">The Impact Evaluation </w:t>
      </w:r>
      <w:r w:rsidR="00534A34">
        <w:rPr>
          <w:rFonts w:ascii="Times New Roman" w:hAnsi="Times New Roman"/>
          <w:sz w:val="24"/>
          <w:szCs w:val="24"/>
        </w:rPr>
        <w:t>(IE) Team will consist of</w:t>
      </w:r>
      <w:r w:rsidRPr="00BF293E">
        <w:rPr>
          <w:rFonts w:ascii="Times New Roman" w:hAnsi="Times New Roman"/>
          <w:sz w:val="24"/>
          <w:szCs w:val="24"/>
        </w:rPr>
        <w:t xml:space="preserve"> </w:t>
      </w:r>
      <w:r w:rsidR="00534A34">
        <w:rPr>
          <w:rFonts w:ascii="Times New Roman" w:hAnsi="Times New Roman"/>
          <w:sz w:val="24"/>
          <w:szCs w:val="24"/>
        </w:rPr>
        <w:t xml:space="preserve">two Economists from the World Bank, </w:t>
      </w:r>
      <w:r w:rsidRPr="00BF293E">
        <w:rPr>
          <w:rFonts w:ascii="Times New Roman" w:hAnsi="Times New Roman"/>
          <w:sz w:val="24"/>
          <w:szCs w:val="24"/>
        </w:rPr>
        <w:t>a field coordinator (</w:t>
      </w:r>
      <w:r w:rsidR="009571AB">
        <w:rPr>
          <w:rFonts w:ascii="Times New Roman" w:hAnsi="Times New Roman"/>
          <w:sz w:val="24"/>
          <w:szCs w:val="24"/>
        </w:rPr>
        <w:t>STC</w:t>
      </w:r>
      <w:r w:rsidRPr="00BF293E">
        <w:rPr>
          <w:rFonts w:ascii="Times New Roman" w:hAnsi="Times New Roman"/>
          <w:sz w:val="24"/>
          <w:szCs w:val="24"/>
        </w:rPr>
        <w:t>), and a survey firm</w:t>
      </w:r>
      <w:r>
        <w:rPr>
          <w:rFonts w:ascii="Times New Roman" w:hAnsi="Times New Roman"/>
          <w:sz w:val="24"/>
          <w:szCs w:val="24"/>
        </w:rPr>
        <w:t xml:space="preserve"> (to be contracted)</w:t>
      </w:r>
      <w:r w:rsidRPr="00BF293E">
        <w:rPr>
          <w:rFonts w:ascii="Times New Roman" w:hAnsi="Times New Roman"/>
          <w:sz w:val="24"/>
          <w:szCs w:val="24"/>
        </w:rPr>
        <w:t xml:space="preserve">. </w:t>
      </w:r>
      <w:r>
        <w:rPr>
          <w:rFonts w:ascii="Times New Roman" w:hAnsi="Times New Roman"/>
          <w:sz w:val="24"/>
          <w:szCs w:val="24"/>
        </w:rPr>
        <w:t xml:space="preserve">The </w:t>
      </w:r>
      <w:r w:rsidR="00534A34">
        <w:rPr>
          <w:rFonts w:ascii="Times New Roman" w:hAnsi="Times New Roman"/>
          <w:sz w:val="24"/>
          <w:szCs w:val="24"/>
        </w:rPr>
        <w:t xml:space="preserve">IE </w:t>
      </w:r>
      <w:r>
        <w:rPr>
          <w:rFonts w:ascii="Times New Roman" w:hAnsi="Times New Roman"/>
          <w:sz w:val="24"/>
          <w:szCs w:val="24"/>
        </w:rPr>
        <w:t>team will work closely with t</w:t>
      </w:r>
      <w:r w:rsidR="003F0806">
        <w:rPr>
          <w:rFonts w:ascii="Times New Roman" w:hAnsi="Times New Roman"/>
          <w:sz w:val="24"/>
          <w:szCs w:val="24"/>
        </w:rPr>
        <w:t>he B</w:t>
      </w:r>
      <w:r w:rsidR="001E15DA">
        <w:rPr>
          <w:rFonts w:ascii="Times New Roman" w:hAnsi="Times New Roman"/>
          <w:sz w:val="24"/>
          <w:szCs w:val="24"/>
        </w:rPr>
        <w:t>ank supervision team and the EF</w:t>
      </w:r>
      <w:r>
        <w:rPr>
          <w:rFonts w:ascii="Times New Roman" w:hAnsi="Times New Roman"/>
          <w:sz w:val="24"/>
          <w:szCs w:val="24"/>
        </w:rPr>
        <w:t xml:space="preserve"> so that the evaluation aligns with all aspects of the project implementation. </w:t>
      </w:r>
    </w:p>
    <w:p w:rsidR="002C2BA2" w:rsidRPr="004B369B" w:rsidRDefault="002C2BA2" w:rsidP="00E3146F">
      <w:pPr>
        <w:pStyle w:val="BodyText"/>
        <w:numPr>
          <w:ilvl w:val="0"/>
          <w:numId w:val="10"/>
        </w:numPr>
        <w:spacing w:after="0"/>
        <w:rPr>
          <w:rFonts w:ascii="Times New Roman" w:hAnsi="Times New Roman"/>
          <w:b/>
          <w:sz w:val="24"/>
          <w:szCs w:val="24"/>
        </w:rPr>
      </w:pPr>
      <w:r w:rsidRPr="00BF293E">
        <w:rPr>
          <w:rFonts w:ascii="Times New Roman" w:hAnsi="Times New Roman"/>
          <w:b/>
          <w:sz w:val="24"/>
          <w:szCs w:val="24"/>
        </w:rPr>
        <w:t>References</w:t>
      </w:r>
    </w:p>
    <w:p w:rsidR="0060538E" w:rsidRDefault="00964F54" w:rsidP="00287F71">
      <w:pPr>
        <w:pStyle w:val="Heading3"/>
        <w:spacing w:before="0"/>
        <w:rPr>
          <w:rStyle w:val="a"/>
          <w:rFonts w:ascii="Times New Roman" w:hAnsi="Times New Roman" w:cs="Times New Roman"/>
          <w:b w:val="0"/>
          <w:color w:val="auto"/>
          <w:sz w:val="24"/>
          <w:szCs w:val="24"/>
        </w:rPr>
      </w:pPr>
      <w:r w:rsidRPr="004B369B">
        <w:rPr>
          <w:rStyle w:val="a"/>
          <w:rFonts w:ascii="Times New Roman" w:hAnsi="Times New Roman" w:cs="Times New Roman"/>
          <w:b w:val="0"/>
          <w:color w:val="auto"/>
          <w:sz w:val="24"/>
          <w:szCs w:val="24"/>
        </w:rPr>
        <w:t xml:space="preserve">J Hahn, P Todd, W Van </w:t>
      </w:r>
      <w:proofErr w:type="spellStart"/>
      <w:r w:rsidRPr="004B369B">
        <w:rPr>
          <w:rStyle w:val="a"/>
          <w:rFonts w:ascii="Times New Roman" w:hAnsi="Times New Roman" w:cs="Times New Roman"/>
          <w:b w:val="0"/>
          <w:color w:val="auto"/>
          <w:sz w:val="24"/>
          <w:szCs w:val="24"/>
        </w:rPr>
        <w:t>der</w:t>
      </w:r>
      <w:proofErr w:type="spellEnd"/>
      <w:r w:rsidRPr="004B369B">
        <w:rPr>
          <w:rStyle w:val="a"/>
          <w:rFonts w:ascii="Times New Roman" w:hAnsi="Times New Roman" w:cs="Times New Roman"/>
          <w:b w:val="0"/>
          <w:color w:val="auto"/>
          <w:sz w:val="24"/>
          <w:szCs w:val="24"/>
        </w:rPr>
        <w:t xml:space="preserve"> </w:t>
      </w:r>
      <w:proofErr w:type="spellStart"/>
      <w:r w:rsidRPr="004B369B">
        <w:rPr>
          <w:rStyle w:val="a"/>
          <w:rFonts w:ascii="Times New Roman" w:hAnsi="Times New Roman" w:cs="Times New Roman"/>
          <w:b w:val="0"/>
          <w:color w:val="auto"/>
          <w:sz w:val="24"/>
          <w:szCs w:val="24"/>
        </w:rPr>
        <w:t>Klaauw</w:t>
      </w:r>
      <w:proofErr w:type="spellEnd"/>
      <w:r w:rsidRPr="004B369B">
        <w:rPr>
          <w:rStyle w:val="a"/>
          <w:rFonts w:ascii="Times New Roman" w:hAnsi="Times New Roman" w:cs="Times New Roman"/>
          <w:b w:val="0"/>
          <w:color w:val="auto"/>
          <w:sz w:val="24"/>
          <w:szCs w:val="24"/>
        </w:rPr>
        <w:t xml:space="preserve">. </w:t>
      </w:r>
      <w:hyperlink r:id="rId10" w:history="1">
        <w:r w:rsidRPr="004B369B">
          <w:rPr>
            <w:rFonts w:ascii="Times New Roman" w:hAnsi="Times New Roman" w:cs="Times New Roman"/>
            <w:b w:val="0"/>
            <w:color w:val="auto"/>
            <w:sz w:val="24"/>
            <w:szCs w:val="24"/>
          </w:rPr>
          <w:t xml:space="preserve">Identification </w:t>
        </w:r>
        <w:r w:rsidRPr="004B369B">
          <w:rPr>
            <w:rFonts w:ascii="Times New Roman" w:hAnsi="Times New Roman" w:cs="Times New Roman"/>
            <w:b w:val="0"/>
            <w:bCs w:val="0"/>
            <w:color w:val="auto"/>
            <w:sz w:val="24"/>
            <w:szCs w:val="24"/>
          </w:rPr>
          <w:t xml:space="preserve">and </w:t>
        </w:r>
        <w:r w:rsidRPr="004B369B">
          <w:rPr>
            <w:rFonts w:ascii="Times New Roman" w:hAnsi="Times New Roman" w:cs="Times New Roman"/>
            <w:b w:val="0"/>
            <w:color w:val="auto"/>
            <w:sz w:val="24"/>
            <w:szCs w:val="24"/>
          </w:rPr>
          <w:t xml:space="preserve">estimation </w:t>
        </w:r>
        <w:r w:rsidRPr="004B369B">
          <w:rPr>
            <w:rFonts w:ascii="Times New Roman" w:hAnsi="Times New Roman" w:cs="Times New Roman"/>
            <w:b w:val="0"/>
            <w:bCs w:val="0"/>
            <w:color w:val="auto"/>
            <w:sz w:val="24"/>
            <w:szCs w:val="24"/>
          </w:rPr>
          <w:t xml:space="preserve">of </w:t>
        </w:r>
        <w:r w:rsidRPr="004B369B">
          <w:rPr>
            <w:rFonts w:ascii="Times New Roman" w:hAnsi="Times New Roman" w:cs="Times New Roman"/>
            <w:b w:val="0"/>
            <w:color w:val="auto"/>
            <w:sz w:val="24"/>
            <w:szCs w:val="24"/>
          </w:rPr>
          <w:t xml:space="preserve">treatment effects </w:t>
        </w:r>
        <w:r w:rsidRPr="004B369B">
          <w:rPr>
            <w:rFonts w:ascii="Times New Roman" w:hAnsi="Times New Roman" w:cs="Times New Roman"/>
            <w:b w:val="0"/>
            <w:bCs w:val="0"/>
            <w:color w:val="auto"/>
            <w:sz w:val="24"/>
            <w:szCs w:val="24"/>
          </w:rPr>
          <w:t xml:space="preserve">with a </w:t>
        </w:r>
        <w:r w:rsidRPr="004B369B">
          <w:rPr>
            <w:rFonts w:ascii="Times New Roman" w:hAnsi="Times New Roman" w:cs="Times New Roman"/>
            <w:b w:val="0"/>
            <w:color w:val="auto"/>
            <w:sz w:val="24"/>
            <w:szCs w:val="24"/>
          </w:rPr>
          <w:t>regression</w:t>
        </w:r>
        <w:r w:rsidRPr="004B369B">
          <w:rPr>
            <w:rFonts w:ascii="Times New Roman" w:hAnsi="Times New Roman" w:cs="Times New Roman"/>
            <w:b w:val="0"/>
            <w:bCs w:val="0"/>
            <w:color w:val="auto"/>
            <w:sz w:val="24"/>
            <w:szCs w:val="24"/>
          </w:rPr>
          <w:t>-</w:t>
        </w:r>
        <w:r w:rsidRPr="004B369B">
          <w:rPr>
            <w:rFonts w:ascii="Times New Roman" w:hAnsi="Times New Roman" w:cs="Times New Roman"/>
            <w:b w:val="0"/>
            <w:color w:val="auto"/>
            <w:sz w:val="24"/>
            <w:szCs w:val="24"/>
          </w:rPr>
          <w:t>discontinuity design</w:t>
        </w:r>
      </w:hyperlink>
      <w:r w:rsidRPr="004B369B">
        <w:rPr>
          <w:rFonts w:ascii="Times New Roman" w:hAnsi="Times New Roman" w:cs="Times New Roman"/>
          <w:b w:val="0"/>
          <w:bCs w:val="0"/>
          <w:color w:val="auto"/>
          <w:sz w:val="24"/>
          <w:szCs w:val="24"/>
        </w:rPr>
        <w:t>.</w:t>
      </w:r>
      <w:r w:rsidRPr="004B369B">
        <w:rPr>
          <w:rStyle w:val="a"/>
          <w:rFonts w:ascii="Times New Roman" w:hAnsi="Times New Roman" w:cs="Times New Roman"/>
          <w:b w:val="0"/>
          <w:color w:val="auto"/>
          <w:sz w:val="24"/>
          <w:szCs w:val="24"/>
        </w:rPr>
        <w:t xml:space="preserve"> </w:t>
      </w:r>
      <w:proofErr w:type="spellStart"/>
      <w:r w:rsidRPr="004B369B">
        <w:rPr>
          <w:rStyle w:val="a"/>
          <w:rFonts w:ascii="Times New Roman" w:hAnsi="Times New Roman" w:cs="Times New Roman"/>
          <w:b w:val="0"/>
          <w:color w:val="auto"/>
          <w:sz w:val="24"/>
          <w:szCs w:val="24"/>
        </w:rPr>
        <w:t>Econometrica</w:t>
      </w:r>
      <w:proofErr w:type="spellEnd"/>
      <w:r w:rsidRPr="004B369B">
        <w:rPr>
          <w:rStyle w:val="a"/>
          <w:rFonts w:ascii="Times New Roman" w:hAnsi="Times New Roman" w:cs="Times New Roman"/>
          <w:b w:val="0"/>
          <w:color w:val="auto"/>
          <w:sz w:val="24"/>
          <w:szCs w:val="24"/>
        </w:rPr>
        <w:t xml:space="preserve">, </w:t>
      </w:r>
      <w:r w:rsidR="00553AB1" w:rsidRPr="004B369B">
        <w:rPr>
          <w:rStyle w:val="a"/>
          <w:rFonts w:ascii="Times New Roman" w:hAnsi="Times New Roman" w:cs="Times New Roman"/>
          <w:b w:val="0"/>
          <w:color w:val="auto"/>
          <w:sz w:val="24"/>
          <w:szCs w:val="24"/>
        </w:rPr>
        <w:t>Vol. 69, No. 1</w:t>
      </w:r>
      <w:r w:rsidR="002C383C" w:rsidRPr="004B369B">
        <w:rPr>
          <w:rStyle w:val="a"/>
          <w:rFonts w:ascii="Times New Roman" w:hAnsi="Times New Roman" w:cs="Times New Roman"/>
          <w:b w:val="0"/>
          <w:color w:val="auto"/>
          <w:sz w:val="24"/>
          <w:szCs w:val="24"/>
        </w:rPr>
        <w:t xml:space="preserve">, </w:t>
      </w:r>
      <w:r w:rsidRPr="004B369B">
        <w:rPr>
          <w:rStyle w:val="a"/>
          <w:rFonts w:ascii="Times New Roman" w:hAnsi="Times New Roman" w:cs="Times New Roman"/>
          <w:b w:val="0"/>
          <w:color w:val="auto"/>
          <w:sz w:val="24"/>
          <w:szCs w:val="24"/>
        </w:rPr>
        <w:t>2001.</w:t>
      </w:r>
    </w:p>
    <w:p w:rsidR="00287F71" w:rsidRPr="00287F71" w:rsidRDefault="00287F71" w:rsidP="00287F71"/>
    <w:p w:rsidR="0060538E" w:rsidRPr="0060538E" w:rsidRDefault="0060538E" w:rsidP="0060538E">
      <w:pPr>
        <w:rPr>
          <w:rFonts w:ascii="Times New Roman" w:hAnsi="Times New Roman"/>
          <w:sz w:val="24"/>
          <w:szCs w:val="24"/>
        </w:rPr>
      </w:pPr>
      <w:proofErr w:type="spellStart"/>
      <w:r w:rsidRPr="0060538E">
        <w:rPr>
          <w:rFonts w:ascii="Times New Roman" w:hAnsi="Times New Roman"/>
          <w:sz w:val="24"/>
          <w:szCs w:val="24"/>
        </w:rPr>
        <w:t>Imbens</w:t>
      </w:r>
      <w:proofErr w:type="spellEnd"/>
      <w:r w:rsidRPr="0060538E">
        <w:rPr>
          <w:rFonts w:ascii="Times New Roman" w:hAnsi="Times New Roman"/>
          <w:sz w:val="24"/>
          <w:szCs w:val="24"/>
        </w:rPr>
        <w:t xml:space="preserve">, G. and Lemieux, T. Regression discontinuity designs: A guide to practice. Journal of Econometrics.  </w:t>
      </w:r>
      <w:hyperlink r:id="rId11" w:history="1">
        <w:r w:rsidRPr="0060538E">
          <w:rPr>
            <w:rStyle w:val="Hyperlink"/>
            <w:rFonts w:ascii="Times New Roman" w:hAnsi="Times New Roman"/>
            <w:sz w:val="24"/>
            <w:szCs w:val="24"/>
            <w:u w:val="none"/>
          </w:rPr>
          <w:t>Volume 142, Issue 2</w:t>
        </w:r>
      </w:hyperlink>
      <w:r w:rsidRPr="0060538E">
        <w:rPr>
          <w:rFonts w:ascii="Times New Roman" w:hAnsi="Times New Roman"/>
          <w:sz w:val="24"/>
          <w:szCs w:val="24"/>
        </w:rPr>
        <w:t>, February 2008</w:t>
      </w:r>
      <w:r>
        <w:rPr>
          <w:rFonts w:ascii="Times New Roman" w:hAnsi="Times New Roman"/>
          <w:sz w:val="24"/>
          <w:szCs w:val="24"/>
        </w:rPr>
        <w:t>.</w:t>
      </w:r>
    </w:p>
    <w:sectPr w:rsidR="0060538E" w:rsidRPr="0060538E" w:rsidSect="006972C0">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195" w:rsidRDefault="00955195">
      <w:pPr>
        <w:spacing w:after="0" w:line="240" w:lineRule="auto"/>
      </w:pPr>
      <w:r>
        <w:separator/>
      </w:r>
    </w:p>
  </w:endnote>
  <w:endnote w:type="continuationSeparator" w:id="0">
    <w:p w:rsidR="00955195" w:rsidRDefault="00955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6303"/>
      <w:docPartObj>
        <w:docPartGallery w:val="Page Numbers (Bottom of Page)"/>
        <w:docPartUnique/>
      </w:docPartObj>
    </w:sdtPr>
    <w:sdtContent>
      <w:p w:rsidR="00C25169" w:rsidRDefault="001E71D1">
        <w:pPr>
          <w:pStyle w:val="Footer"/>
          <w:jc w:val="center"/>
        </w:pPr>
        <w:fldSimple w:instr=" PAGE   \* MERGEFORMAT ">
          <w:r w:rsidR="002C22E8">
            <w:rPr>
              <w:noProof/>
            </w:rPr>
            <w:t>10</w:t>
          </w:r>
        </w:fldSimple>
      </w:p>
    </w:sdtContent>
  </w:sdt>
  <w:p w:rsidR="00C25169" w:rsidRDefault="00C25169">
    <w:pPr>
      <w:pStyle w:val="Footer"/>
      <w:ind w:right="36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69" w:rsidRDefault="001E71D1">
    <w:pPr>
      <w:pStyle w:val="Footer"/>
      <w:rPr>
        <w:i/>
        <w:sz w:val="20"/>
      </w:rPr>
    </w:pPr>
    <w:r>
      <w:rPr>
        <w:i/>
        <w:snapToGrid w:val="0"/>
        <w:sz w:val="20"/>
      </w:rPr>
      <w:fldChar w:fldCharType="begin"/>
    </w:r>
    <w:r w:rsidR="00C25169">
      <w:rPr>
        <w:i/>
        <w:snapToGrid w:val="0"/>
        <w:sz w:val="20"/>
      </w:rPr>
      <w:instrText xml:space="preserve"> FILENAME </w:instrText>
    </w:r>
    <w:r>
      <w:rPr>
        <w:i/>
        <w:snapToGrid w:val="0"/>
        <w:sz w:val="20"/>
      </w:rPr>
      <w:fldChar w:fldCharType="separate"/>
    </w:r>
    <w:r w:rsidR="00C25169">
      <w:rPr>
        <w:i/>
        <w:noProof/>
        <w:snapToGrid w:val="0"/>
        <w:sz w:val="20"/>
      </w:rPr>
      <w:t>Nepal IE concept note 5Nov09.docx</w:t>
    </w:r>
    <w:r>
      <w:rPr>
        <w:i/>
        <w:snapToGrid w:val="0"/>
        <w:sz w:val="20"/>
      </w:rPr>
      <w:fldChar w:fldCharType="end"/>
    </w:r>
  </w:p>
  <w:p w:rsidR="00C25169" w:rsidRDefault="001E71D1">
    <w:pPr>
      <w:pStyle w:val="Footer"/>
    </w:pPr>
    <w:r>
      <w:rPr>
        <w:i/>
        <w:sz w:val="20"/>
      </w:rPr>
      <w:fldChar w:fldCharType="begin"/>
    </w:r>
    <w:r w:rsidR="00C25169">
      <w:rPr>
        <w:i/>
        <w:sz w:val="20"/>
      </w:rPr>
      <w:instrText xml:space="preserve"> DATE \@ "MM/dd/yy" </w:instrText>
    </w:r>
    <w:r>
      <w:rPr>
        <w:i/>
        <w:sz w:val="20"/>
      </w:rPr>
      <w:fldChar w:fldCharType="separate"/>
    </w:r>
    <w:r w:rsidR="002C22E8">
      <w:rPr>
        <w:i/>
        <w:noProof/>
        <w:sz w:val="20"/>
      </w:rPr>
      <w:t>01/20/15</w:t>
    </w:r>
    <w:r>
      <w:rPr>
        <w: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195" w:rsidRDefault="00955195">
      <w:pPr>
        <w:spacing w:after="0" w:line="240" w:lineRule="auto"/>
      </w:pPr>
      <w:r>
        <w:separator/>
      </w:r>
    </w:p>
  </w:footnote>
  <w:footnote w:type="continuationSeparator" w:id="0">
    <w:p w:rsidR="00955195" w:rsidRDefault="00955195">
      <w:pPr>
        <w:spacing w:after="0" w:line="240" w:lineRule="auto"/>
      </w:pPr>
      <w:r>
        <w:continuationSeparator/>
      </w:r>
    </w:p>
  </w:footnote>
  <w:footnote w:id="1">
    <w:p w:rsidR="00C25169" w:rsidRDefault="00C25169" w:rsidP="00A47FD9">
      <w:pPr>
        <w:pStyle w:val="FootnoteText"/>
      </w:pPr>
      <w:r>
        <w:rPr>
          <w:rStyle w:val="FootnoteReference"/>
        </w:rPr>
        <w:footnoteRef/>
      </w:r>
      <w:r>
        <w:t xml:space="preserve"> Background information and more details on regression discontinuity designs can be found in Hahn, Todd</w:t>
      </w:r>
      <w:r w:rsidR="00E852EA">
        <w:t xml:space="preserve">, </w:t>
      </w:r>
      <w:r>
        <w:t xml:space="preserve">Van </w:t>
      </w:r>
      <w:proofErr w:type="spellStart"/>
      <w:r>
        <w:t>der</w:t>
      </w:r>
      <w:proofErr w:type="spellEnd"/>
      <w:r>
        <w:t xml:space="preserve"> </w:t>
      </w:r>
      <w:proofErr w:type="spellStart"/>
      <w:r>
        <w:t>Klauw</w:t>
      </w:r>
      <w:proofErr w:type="spellEnd"/>
      <w:r>
        <w:t xml:space="preserve"> (2001) and </w:t>
      </w:r>
      <w:proofErr w:type="spellStart"/>
      <w:r>
        <w:t>Imbens</w:t>
      </w:r>
      <w:proofErr w:type="spellEnd"/>
      <w:r>
        <w:t xml:space="preserve"> and Lemieux (2008). </w:t>
      </w:r>
    </w:p>
  </w:footnote>
  <w:footnote w:id="2">
    <w:p w:rsidR="00C25169" w:rsidRDefault="00C25169">
      <w:pPr>
        <w:pStyle w:val="FootnoteText"/>
      </w:pPr>
      <w:r>
        <w:rPr>
          <w:rStyle w:val="FootnoteReference"/>
        </w:rPr>
        <w:footnoteRef/>
      </w:r>
      <w:r>
        <w:t xml:space="preserve"> The precise weighting methodology will be developed during the data analysis phase of the evaluation.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69" w:rsidRDefault="00C251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01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B0A20C9"/>
    <w:multiLevelType w:val="hybridMultilevel"/>
    <w:tmpl w:val="ACC6A6FE"/>
    <w:lvl w:ilvl="0" w:tplc="C6B6E99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0C18A4"/>
    <w:multiLevelType w:val="hybridMultilevel"/>
    <w:tmpl w:val="ECB8E6D2"/>
    <w:lvl w:ilvl="0" w:tplc="D89693EA">
      <w:start w:val="1"/>
      <w:numFmt w:val="bullet"/>
      <w:lvlText w:val="•"/>
      <w:lvlJc w:val="left"/>
      <w:pPr>
        <w:tabs>
          <w:tab w:val="num" w:pos="720"/>
        </w:tabs>
        <w:ind w:left="720" w:hanging="360"/>
      </w:pPr>
      <w:rPr>
        <w:rFonts w:ascii="Arial" w:hAnsi="Arial" w:hint="default"/>
      </w:rPr>
    </w:lvl>
    <w:lvl w:ilvl="1" w:tplc="0ACCB940">
      <w:start w:val="1129"/>
      <w:numFmt w:val="bullet"/>
      <w:lvlText w:val="–"/>
      <w:lvlJc w:val="left"/>
      <w:pPr>
        <w:tabs>
          <w:tab w:val="num" w:pos="1440"/>
        </w:tabs>
        <w:ind w:left="1440" w:hanging="360"/>
      </w:pPr>
      <w:rPr>
        <w:rFonts w:ascii="Arial" w:hAnsi="Arial" w:hint="default"/>
      </w:rPr>
    </w:lvl>
    <w:lvl w:ilvl="2" w:tplc="7F1E012A" w:tentative="1">
      <w:start w:val="1"/>
      <w:numFmt w:val="bullet"/>
      <w:lvlText w:val="•"/>
      <w:lvlJc w:val="left"/>
      <w:pPr>
        <w:tabs>
          <w:tab w:val="num" w:pos="2160"/>
        </w:tabs>
        <w:ind w:left="2160" w:hanging="360"/>
      </w:pPr>
      <w:rPr>
        <w:rFonts w:ascii="Arial" w:hAnsi="Arial" w:hint="default"/>
      </w:rPr>
    </w:lvl>
    <w:lvl w:ilvl="3" w:tplc="F4BA16E8" w:tentative="1">
      <w:start w:val="1"/>
      <w:numFmt w:val="bullet"/>
      <w:lvlText w:val="•"/>
      <w:lvlJc w:val="left"/>
      <w:pPr>
        <w:tabs>
          <w:tab w:val="num" w:pos="2880"/>
        </w:tabs>
        <w:ind w:left="2880" w:hanging="360"/>
      </w:pPr>
      <w:rPr>
        <w:rFonts w:ascii="Arial" w:hAnsi="Arial" w:hint="default"/>
      </w:rPr>
    </w:lvl>
    <w:lvl w:ilvl="4" w:tplc="1E0AE15C" w:tentative="1">
      <w:start w:val="1"/>
      <w:numFmt w:val="bullet"/>
      <w:lvlText w:val="•"/>
      <w:lvlJc w:val="left"/>
      <w:pPr>
        <w:tabs>
          <w:tab w:val="num" w:pos="3600"/>
        </w:tabs>
        <w:ind w:left="3600" w:hanging="360"/>
      </w:pPr>
      <w:rPr>
        <w:rFonts w:ascii="Arial" w:hAnsi="Arial" w:hint="default"/>
      </w:rPr>
    </w:lvl>
    <w:lvl w:ilvl="5" w:tplc="42B481A4" w:tentative="1">
      <w:start w:val="1"/>
      <w:numFmt w:val="bullet"/>
      <w:lvlText w:val="•"/>
      <w:lvlJc w:val="left"/>
      <w:pPr>
        <w:tabs>
          <w:tab w:val="num" w:pos="4320"/>
        </w:tabs>
        <w:ind w:left="4320" w:hanging="360"/>
      </w:pPr>
      <w:rPr>
        <w:rFonts w:ascii="Arial" w:hAnsi="Arial" w:hint="default"/>
      </w:rPr>
    </w:lvl>
    <w:lvl w:ilvl="6" w:tplc="12E43970" w:tentative="1">
      <w:start w:val="1"/>
      <w:numFmt w:val="bullet"/>
      <w:lvlText w:val="•"/>
      <w:lvlJc w:val="left"/>
      <w:pPr>
        <w:tabs>
          <w:tab w:val="num" w:pos="5040"/>
        </w:tabs>
        <w:ind w:left="5040" w:hanging="360"/>
      </w:pPr>
      <w:rPr>
        <w:rFonts w:ascii="Arial" w:hAnsi="Arial" w:hint="default"/>
      </w:rPr>
    </w:lvl>
    <w:lvl w:ilvl="7" w:tplc="FD7AD4FC" w:tentative="1">
      <w:start w:val="1"/>
      <w:numFmt w:val="bullet"/>
      <w:lvlText w:val="•"/>
      <w:lvlJc w:val="left"/>
      <w:pPr>
        <w:tabs>
          <w:tab w:val="num" w:pos="5760"/>
        </w:tabs>
        <w:ind w:left="5760" w:hanging="360"/>
      </w:pPr>
      <w:rPr>
        <w:rFonts w:ascii="Arial" w:hAnsi="Arial" w:hint="default"/>
      </w:rPr>
    </w:lvl>
    <w:lvl w:ilvl="8" w:tplc="5894A574" w:tentative="1">
      <w:start w:val="1"/>
      <w:numFmt w:val="bullet"/>
      <w:lvlText w:val="•"/>
      <w:lvlJc w:val="left"/>
      <w:pPr>
        <w:tabs>
          <w:tab w:val="num" w:pos="6480"/>
        </w:tabs>
        <w:ind w:left="6480" w:hanging="360"/>
      </w:pPr>
      <w:rPr>
        <w:rFonts w:ascii="Arial" w:hAnsi="Arial" w:hint="default"/>
      </w:rPr>
    </w:lvl>
  </w:abstractNum>
  <w:abstractNum w:abstractNumId="3">
    <w:nsid w:val="1A2E0166"/>
    <w:multiLevelType w:val="hybridMultilevel"/>
    <w:tmpl w:val="CE066ECC"/>
    <w:lvl w:ilvl="0" w:tplc="2A2662F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AA04D7"/>
    <w:multiLevelType w:val="hybridMultilevel"/>
    <w:tmpl w:val="A8B6D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1546D5"/>
    <w:multiLevelType w:val="hybridMultilevel"/>
    <w:tmpl w:val="AC12D326"/>
    <w:lvl w:ilvl="0" w:tplc="A7F87DA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930791"/>
    <w:multiLevelType w:val="hybridMultilevel"/>
    <w:tmpl w:val="04B8748E"/>
    <w:lvl w:ilvl="0" w:tplc="0DC22440">
      <w:start w:val="1"/>
      <w:numFmt w:val="bullet"/>
      <w:lvlText w:val="–"/>
      <w:lvlJc w:val="left"/>
      <w:pPr>
        <w:tabs>
          <w:tab w:val="num" w:pos="720"/>
        </w:tabs>
        <w:ind w:left="720" w:hanging="360"/>
      </w:pPr>
      <w:rPr>
        <w:rFonts w:ascii="Arial" w:hAnsi="Arial" w:hint="default"/>
      </w:rPr>
    </w:lvl>
    <w:lvl w:ilvl="1" w:tplc="F9721EC4">
      <w:start w:val="1"/>
      <w:numFmt w:val="bullet"/>
      <w:lvlText w:val="–"/>
      <w:lvlJc w:val="left"/>
      <w:pPr>
        <w:tabs>
          <w:tab w:val="num" w:pos="1440"/>
        </w:tabs>
        <w:ind w:left="1440" w:hanging="360"/>
      </w:pPr>
      <w:rPr>
        <w:rFonts w:ascii="Arial" w:hAnsi="Arial" w:hint="default"/>
      </w:rPr>
    </w:lvl>
    <w:lvl w:ilvl="2" w:tplc="B69CEE04">
      <w:start w:val="589"/>
      <w:numFmt w:val="bullet"/>
      <w:lvlText w:val="•"/>
      <w:lvlJc w:val="left"/>
      <w:pPr>
        <w:tabs>
          <w:tab w:val="num" w:pos="2160"/>
        </w:tabs>
        <w:ind w:left="2160" w:hanging="360"/>
      </w:pPr>
      <w:rPr>
        <w:rFonts w:ascii="Arial" w:hAnsi="Arial" w:hint="default"/>
      </w:rPr>
    </w:lvl>
    <w:lvl w:ilvl="3" w:tplc="A8DE0042" w:tentative="1">
      <w:start w:val="1"/>
      <w:numFmt w:val="bullet"/>
      <w:lvlText w:val="–"/>
      <w:lvlJc w:val="left"/>
      <w:pPr>
        <w:tabs>
          <w:tab w:val="num" w:pos="2880"/>
        </w:tabs>
        <w:ind w:left="2880" w:hanging="360"/>
      </w:pPr>
      <w:rPr>
        <w:rFonts w:ascii="Arial" w:hAnsi="Arial" w:hint="default"/>
      </w:rPr>
    </w:lvl>
    <w:lvl w:ilvl="4" w:tplc="4ECE960C" w:tentative="1">
      <w:start w:val="1"/>
      <w:numFmt w:val="bullet"/>
      <w:lvlText w:val="–"/>
      <w:lvlJc w:val="left"/>
      <w:pPr>
        <w:tabs>
          <w:tab w:val="num" w:pos="3600"/>
        </w:tabs>
        <w:ind w:left="3600" w:hanging="360"/>
      </w:pPr>
      <w:rPr>
        <w:rFonts w:ascii="Arial" w:hAnsi="Arial" w:hint="default"/>
      </w:rPr>
    </w:lvl>
    <w:lvl w:ilvl="5" w:tplc="BBF6654E" w:tentative="1">
      <w:start w:val="1"/>
      <w:numFmt w:val="bullet"/>
      <w:lvlText w:val="–"/>
      <w:lvlJc w:val="left"/>
      <w:pPr>
        <w:tabs>
          <w:tab w:val="num" w:pos="4320"/>
        </w:tabs>
        <w:ind w:left="4320" w:hanging="360"/>
      </w:pPr>
      <w:rPr>
        <w:rFonts w:ascii="Arial" w:hAnsi="Arial" w:hint="default"/>
      </w:rPr>
    </w:lvl>
    <w:lvl w:ilvl="6" w:tplc="D76CE868" w:tentative="1">
      <w:start w:val="1"/>
      <w:numFmt w:val="bullet"/>
      <w:lvlText w:val="–"/>
      <w:lvlJc w:val="left"/>
      <w:pPr>
        <w:tabs>
          <w:tab w:val="num" w:pos="5040"/>
        </w:tabs>
        <w:ind w:left="5040" w:hanging="360"/>
      </w:pPr>
      <w:rPr>
        <w:rFonts w:ascii="Arial" w:hAnsi="Arial" w:hint="default"/>
      </w:rPr>
    </w:lvl>
    <w:lvl w:ilvl="7" w:tplc="99C0E69E" w:tentative="1">
      <w:start w:val="1"/>
      <w:numFmt w:val="bullet"/>
      <w:lvlText w:val="–"/>
      <w:lvlJc w:val="left"/>
      <w:pPr>
        <w:tabs>
          <w:tab w:val="num" w:pos="5760"/>
        </w:tabs>
        <w:ind w:left="5760" w:hanging="360"/>
      </w:pPr>
      <w:rPr>
        <w:rFonts w:ascii="Arial" w:hAnsi="Arial" w:hint="default"/>
      </w:rPr>
    </w:lvl>
    <w:lvl w:ilvl="8" w:tplc="F80EBC4A" w:tentative="1">
      <w:start w:val="1"/>
      <w:numFmt w:val="bullet"/>
      <w:lvlText w:val="–"/>
      <w:lvlJc w:val="left"/>
      <w:pPr>
        <w:tabs>
          <w:tab w:val="num" w:pos="6480"/>
        </w:tabs>
        <w:ind w:left="6480" w:hanging="360"/>
      </w:pPr>
      <w:rPr>
        <w:rFonts w:ascii="Arial" w:hAnsi="Arial" w:hint="default"/>
      </w:rPr>
    </w:lvl>
  </w:abstractNum>
  <w:abstractNum w:abstractNumId="7">
    <w:nsid w:val="2E506D6F"/>
    <w:multiLevelType w:val="hybridMultilevel"/>
    <w:tmpl w:val="F222A396"/>
    <w:lvl w:ilvl="0" w:tplc="81F63BA4">
      <w:start w:val="1"/>
      <w:numFmt w:val="bullet"/>
      <w:lvlText w:val=""/>
      <w:lvlJc w:val="left"/>
      <w:pPr>
        <w:ind w:left="1440" w:hanging="360"/>
      </w:pPr>
      <w:rPr>
        <w:rFonts w:ascii="Symbol" w:hAnsi="Symbol" w:hint="default"/>
      </w:rPr>
    </w:lvl>
    <w:lvl w:ilvl="1" w:tplc="6E54E948" w:tentative="1">
      <w:start w:val="1"/>
      <w:numFmt w:val="bullet"/>
      <w:lvlText w:val="o"/>
      <w:lvlJc w:val="left"/>
      <w:pPr>
        <w:ind w:left="2160" w:hanging="360"/>
      </w:pPr>
      <w:rPr>
        <w:rFonts w:ascii="Courier New" w:hAnsi="Courier New" w:hint="default"/>
      </w:rPr>
    </w:lvl>
    <w:lvl w:ilvl="2" w:tplc="F85A2462" w:tentative="1">
      <w:start w:val="1"/>
      <w:numFmt w:val="bullet"/>
      <w:lvlText w:val=""/>
      <w:lvlJc w:val="left"/>
      <w:pPr>
        <w:ind w:left="2880" w:hanging="360"/>
      </w:pPr>
      <w:rPr>
        <w:rFonts w:ascii="Wingdings" w:hAnsi="Wingdings" w:hint="default"/>
      </w:rPr>
    </w:lvl>
    <w:lvl w:ilvl="3" w:tplc="19485B68" w:tentative="1">
      <w:start w:val="1"/>
      <w:numFmt w:val="bullet"/>
      <w:lvlText w:val=""/>
      <w:lvlJc w:val="left"/>
      <w:pPr>
        <w:ind w:left="3600" w:hanging="360"/>
      </w:pPr>
      <w:rPr>
        <w:rFonts w:ascii="Symbol" w:hAnsi="Symbol" w:hint="default"/>
      </w:rPr>
    </w:lvl>
    <w:lvl w:ilvl="4" w:tplc="2C562432" w:tentative="1">
      <w:start w:val="1"/>
      <w:numFmt w:val="bullet"/>
      <w:lvlText w:val="o"/>
      <w:lvlJc w:val="left"/>
      <w:pPr>
        <w:ind w:left="4320" w:hanging="360"/>
      </w:pPr>
      <w:rPr>
        <w:rFonts w:ascii="Courier New" w:hAnsi="Courier New" w:hint="default"/>
      </w:rPr>
    </w:lvl>
    <w:lvl w:ilvl="5" w:tplc="DF64C362" w:tentative="1">
      <w:start w:val="1"/>
      <w:numFmt w:val="bullet"/>
      <w:lvlText w:val=""/>
      <w:lvlJc w:val="left"/>
      <w:pPr>
        <w:ind w:left="5040" w:hanging="360"/>
      </w:pPr>
      <w:rPr>
        <w:rFonts w:ascii="Wingdings" w:hAnsi="Wingdings" w:hint="default"/>
      </w:rPr>
    </w:lvl>
    <w:lvl w:ilvl="6" w:tplc="2DBCD712" w:tentative="1">
      <w:start w:val="1"/>
      <w:numFmt w:val="bullet"/>
      <w:lvlText w:val=""/>
      <w:lvlJc w:val="left"/>
      <w:pPr>
        <w:ind w:left="5760" w:hanging="360"/>
      </w:pPr>
      <w:rPr>
        <w:rFonts w:ascii="Symbol" w:hAnsi="Symbol" w:hint="default"/>
      </w:rPr>
    </w:lvl>
    <w:lvl w:ilvl="7" w:tplc="8CF6497A" w:tentative="1">
      <w:start w:val="1"/>
      <w:numFmt w:val="bullet"/>
      <w:lvlText w:val="o"/>
      <w:lvlJc w:val="left"/>
      <w:pPr>
        <w:ind w:left="6480" w:hanging="360"/>
      </w:pPr>
      <w:rPr>
        <w:rFonts w:ascii="Courier New" w:hAnsi="Courier New" w:hint="default"/>
      </w:rPr>
    </w:lvl>
    <w:lvl w:ilvl="8" w:tplc="5192A3CE" w:tentative="1">
      <w:start w:val="1"/>
      <w:numFmt w:val="bullet"/>
      <w:lvlText w:val=""/>
      <w:lvlJc w:val="left"/>
      <w:pPr>
        <w:ind w:left="7200" w:hanging="360"/>
      </w:pPr>
      <w:rPr>
        <w:rFonts w:ascii="Wingdings" w:hAnsi="Wingdings" w:hint="default"/>
      </w:rPr>
    </w:lvl>
  </w:abstractNum>
  <w:abstractNum w:abstractNumId="8">
    <w:nsid w:val="36A75391"/>
    <w:multiLevelType w:val="hybridMultilevel"/>
    <w:tmpl w:val="B04250D4"/>
    <w:lvl w:ilvl="0" w:tplc="53E6F81C">
      <w:start w:val="1"/>
      <w:numFmt w:val="lowerLetter"/>
      <w:lvlText w:val="%1."/>
      <w:lvlJc w:val="left"/>
      <w:pPr>
        <w:ind w:left="720" w:hanging="720"/>
      </w:pPr>
      <w:rPr>
        <w:rFonts w:hint="default"/>
        <w:b w:val="0"/>
      </w:rPr>
    </w:lvl>
    <w:lvl w:ilvl="1" w:tplc="04090001">
      <w:start w:val="1"/>
      <w:numFmt w:val="bullet"/>
      <w:lvlText w:val=""/>
      <w:lvlJc w:val="left"/>
      <w:pPr>
        <w:ind w:left="1080" w:hanging="360"/>
      </w:pPr>
      <w:rPr>
        <w:rFonts w:ascii="Symbol" w:hAnsi="Symbol" w:hint="default"/>
      </w:rPr>
    </w:lvl>
    <w:lvl w:ilvl="2" w:tplc="386C04FA">
      <w:start w:val="1"/>
      <w:numFmt w:val="lowerLetter"/>
      <w:lvlText w:val="%3."/>
      <w:lvlJc w:val="left"/>
      <w:pPr>
        <w:ind w:left="1980" w:hanging="360"/>
      </w:pPr>
      <w:rPr>
        <w:rFonts w:hint="default"/>
        <w:b/>
        <w:i/>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535977"/>
    <w:multiLevelType w:val="hybridMultilevel"/>
    <w:tmpl w:val="86D87F02"/>
    <w:lvl w:ilvl="0" w:tplc="2A2662F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6A857D9"/>
    <w:multiLevelType w:val="hybridMultilevel"/>
    <w:tmpl w:val="AE3E0A28"/>
    <w:lvl w:ilvl="0" w:tplc="F348C902">
      <w:start w:val="1"/>
      <w:numFmt w:val="bullet"/>
      <w:lvlText w:val="•"/>
      <w:lvlJc w:val="left"/>
      <w:pPr>
        <w:tabs>
          <w:tab w:val="num" w:pos="720"/>
        </w:tabs>
        <w:ind w:left="720" w:hanging="360"/>
      </w:pPr>
      <w:rPr>
        <w:rFonts w:ascii="Arial" w:hAnsi="Arial" w:hint="default"/>
      </w:rPr>
    </w:lvl>
    <w:lvl w:ilvl="1" w:tplc="E9EA3EB0">
      <w:start w:val="577"/>
      <w:numFmt w:val="bullet"/>
      <w:lvlText w:val="–"/>
      <w:lvlJc w:val="left"/>
      <w:pPr>
        <w:tabs>
          <w:tab w:val="num" w:pos="1440"/>
        </w:tabs>
        <w:ind w:left="1440" w:hanging="360"/>
      </w:pPr>
      <w:rPr>
        <w:rFonts w:ascii="Arial" w:hAnsi="Arial" w:hint="default"/>
      </w:rPr>
    </w:lvl>
    <w:lvl w:ilvl="2" w:tplc="39803104" w:tentative="1">
      <w:start w:val="1"/>
      <w:numFmt w:val="bullet"/>
      <w:lvlText w:val="•"/>
      <w:lvlJc w:val="left"/>
      <w:pPr>
        <w:tabs>
          <w:tab w:val="num" w:pos="2160"/>
        </w:tabs>
        <w:ind w:left="2160" w:hanging="360"/>
      </w:pPr>
      <w:rPr>
        <w:rFonts w:ascii="Arial" w:hAnsi="Arial" w:hint="default"/>
      </w:rPr>
    </w:lvl>
    <w:lvl w:ilvl="3" w:tplc="B8004C6E" w:tentative="1">
      <w:start w:val="1"/>
      <w:numFmt w:val="bullet"/>
      <w:lvlText w:val="•"/>
      <w:lvlJc w:val="left"/>
      <w:pPr>
        <w:tabs>
          <w:tab w:val="num" w:pos="2880"/>
        </w:tabs>
        <w:ind w:left="2880" w:hanging="360"/>
      </w:pPr>
      <w:rPr>
        <w:rFonts w:ascii="Arial" w:hAnsi="Arial" w:hint="default"/>
      </w:rPr>
    </w:lvl>
    <w:lvl w:ilvl="4" w:tplc="776CF22A" w:tentative="1">
      <w:start w:val="1"/>
      <w:numFmt w:val="bullet"/>
      <w:lvlText w:val="•"/>
      <w:lvlJc w:val="left"/>
      <w:pPr>
        <w:tabs>
          <w:tab w:val="num" w:pos="3600"/>
        </w:tabs>
        <w:ind w:left="3600" w:hanging="360"/>
      </w:pPr>
      <w:rPr>
        <w:rFonts w:ascii="Arial" w:hAnsi="Arial" w:hint="default"/>
      </w:rPr>
    </w:lvl>
    <w:lvl w:ilvl="5" w:tplc="F97EFD4C" w:tentative="1">
      <w:start w:val="1"/>
      <w:numFmt w:val="bullet"/>
      <w:lvlText w:val="•"/>
      <w:lvlJc w:val="left"/>
      <w:pPr>
        <w:tabs>
          <w:tab w:val="num" w:pos="4320"/>
        </w:tabs>
        <w:ind w:left="4320" w:hanging="360"/>
      </w:pPr>
      <w:rPr>
        <w:rFonts w:ascii="Arial" w:hAnsi="Arial" w:hint="default"/>
      </w:rPr>
    </w:lvl>
    <w:lvl w:ilvl="6" w:tplc="E68AC262" w:tentative="1">
      <w:start w:val="1"/>
      <w:numFmt w:val="bullet"/>
      <w:lvlText w:val="•"/>
      <w:lvlJc w:val="left"/>
      <w:pPr>
        <w:tabs>
          <w:tab w:val="num" w:pos="5040"/>
        </w:tabs>
        <w:ind w:left="5040" w:hanging="360"/>
      </w:pPr>
      <w:rPr>
        <w:rFonts w:ascii="Arial" w:hAnsi="Arial" w:hint="default"/>
      </w:rPr>
    </w:lvl>
    <w:lvl w:ilvl="7" w:tplc="C2D033B4" w:tentative="1">
      <w:start w:val="1"/>
      <w:numFmt w:val="bullet"/>
      <w:lvlText w:val="•"/>
      <w:lvlJc w:val="left"/>
      <w:pPr>
        <w:tabs>
          <w:tab w:val="num" w:pos="5760"/>
        </w:tabs>
        <w:ind w:left="5760" w:hanging="360"/>
      </w:pPr>
      <w:rPr>
        <w:rFonts w:ascii="Arial" w:hAnsi="Arial" w:hint="default"/>
      </w:rPr>
    </w:lvl>
    <w:lvl w:ilvl="8" w:tplc="FBF8105C" w:tentative="1">
      <w:start w:val="1"/>
      <w:numFmt w:val="bullet"/>
      <w:lvlText w:val="•"/>
      <w:lvlJc w:val="left"/>
      <w:pPr>
        <w:tabs>
          <w:tab w:val="num" w:pos="6480"/>
        </w:tabs>
        <w:ind w:left="6480" w:hanging="360"/>
      </w:pPr>
      <w:rPr>
        <w:rFonts w:ascii="Arial" w:hAnsi="Arial" w:hint="default"/>
      </w:rPr>
    </w:lvl>
  </w:abstractNum>
  <w:abstractNum w:abstractNumId="11">
    <w:nsid w:val="53714E2F"/>
    <w:multiLevelType w:val="hybridMultilevel"/>
    <w:tmpl w:val="31223252"/>
    <w:lvl w:ilvl="0" w:tplc="DC7E4914">
      <w:start w:val="1"/>
      <w:numFmt w:val="bullet"/>
      <w:lvlText w:val="•"/>
      <w:lvlJc w:val="left"/>
      <w:pPr>
        <w:tabs>
          <w:tab w:val="num" w:pos="720"/>
        </w:tabs>
        <w:ind w:left="720" w:hanging="360"/>
      </w:pPr>
      <w:rPr>
        <w:rFonts w:ascii="Arial" w:hAnsi="Arial" w:hint="default"/>
      </w:rPr>
    </w:lvl>
    <w:lvl w:ilvl="1" w:tplc="16587B4C">
      <w:start w:val="577"/>
      <w:numFmt w:val="bullet"/>
      <w:lvlText w:val="–"/>
      <w:lvlJc w:val="left"/>
      <w:pPr>
        <w:tabs>
          <w:tab w:val="num" w:pos="1440"/>
        </w:tabs>
        <w:ind w:left="1440" w:hanging="360"/>
      </w:pPr>
      <w:rPr>
        <w:rFonts w:ascii="Arial" w:hAnsi="Arial" w:hint="default"/>
      </w:rPr>
    </w:lvl>
    <w:lvl w:ilvl="2" w:tplc="B7C0B882" w:tentative="1">
      <w:start w:val="1"/>
      <w:numFmt w:val="bullet"/>
      <w:lvlText w:val="•"/>
      <w:lvlJc w:val="left"/>
      <w:pPr>
        <w:tabs>
          <w:tab w:val="num" w:pos="2160"/>
        </w:tabs>
        <w:ind w:left="2160" w:hanging="360"/>
      </w:pPr>
      <w:rPr>
        <w:rFonts w:ascii="Arial" w:hAnsi="Arial" w:hint="default"/>
      </w:rPr>
    </w:lvl>
    <w:lvl w:ilvl="3" w:tplc="C7CE9EAA" w:tentative="1">
      <w:start w:val="1"/>
      <w:numFmt w:val="bullet"/>
      <w:lvlText w:val="•"/>
      <w:lvlJc w:val="left"/>
      <w:pPr>
        <w:tabs>
          <w:tab w:val="num" w:pos="2880"/>
        </w:tabs>
        <w:ind w:left="2880" w:hanging="360"/>
      </w:pPr>
      <w:rPr>
        <w:rFonts w:ascii="Arial" w:hAnsi="Arial" w:hint="default"/>
      </w:rPr>
    </w:lvl>
    <w:lvl w:ilvl="4" w:tplc="8294D960" w:tentative="1">
      <w:start w:val="1"/>
      <w:numFmt w:val="bullet"/>
      <w:lvlText w:val="•"/>
      <w:lvlJc w:val="left"/>
      <w:pPr>
        <w:tabs>
          <w:tab w:val="num" w:pos="3600"/>
        </w:tabs>
        <w:ind w:left="3600" w:hanging="360"/>
      </w:pPr>
      <w:rPr>
        <w:rFonts w:ascii="Arial" w:hAnsi="Arial" w:hint="default"/>
      </w:rPr>
    </w:lvl>
    <w:lvl w:ilvl="5" w:tplc="C0505178" w:tentative="1">
      <w:start w:val="1"/>
      <w:numFmt w:val="bullet"/>
      <w:lvlText w:val="•"/>
      <w:lvlJc w:val="left"/>
      <w:pPr>
        <w:tabs>
          <w:tab w:val="num" w:pos="4320"/>
        </w:tabs>
        <w:ind w:left="4320" w:hanging="360"/>
      </w:pPr>
      <w:rPr>
        <w:rFonts w:ascii="Arial" w:hAnsi="Arial" w:hint="default"/>
      </w:rPr>
    </w:lvl>
    <w:lvl w:ilvl="6" w:tplc="D6783256" w:tentative="1">
      <w:start w:val="1"/>
      <w:numFmt w:val="bullet"/>
      <w:lvlText w:val="•"/>
      <w:lvlJc w:val="left"/>
      <w:pPr>
        <w:tabs>
          <w:tab w:val="num" w:pos="5040"/>
        </w:tabs>
        <w:ind w:left="5040" w:hanging="360"/>
      </w:pPr>
      <w:rPr>
        <w:rFonts w:ascii="Arial" w:hAnsi="Arial" w:hint="default"/>
      </w:rPr>
    </w:lvl>
    <w:lvl w:ilvl="7" w:tplc="852C76B6" w:tentative="1">
      <w:start w:val="1"/>
      <w:numFmt w:val="bullet"/>
      <w:lvlText w:val="•"/>
      <w:lvlJc w:val="left"/>
      <w:pPr>
        <w:tabs>
          <w:tab w:val="num" w:pos="5760"/>
        </w:tabs>
        <w:ind w:left="5760" w:hanging="360"/>
      </w:pPr>
      <w:rPr>
        <w:rFonts w:ascii="Arial" w:hAnsi="Arial" w:hint="default"/>
      </w:rPr>
    </w:lvl>
    <w:lvl w:ilvl="8" w:tplc="8C7A87F8" w:tentative="1">
      <w:start w:val="1"/>
      <w:numFmt w:val="bullet"/>
      <w:lvlText w:val="•"/>
      <w:lvlJc w:val="left"/>
      <w:pPr>
        <w:tabs>
          <w:tab w:val="num" w:pos="6480"/>
        </w:tabs>
        <w:ind w:left="6480" w:hanging="360"/>
      </w:pPr>
      <w:rPr>
        <w:rFonts w:ascii="Arial" w:hAnsi="Arial" w:hint="default"/>
      </w:rPr>
    </w:lvl>
  </w:abstractNum>
  <w:abstractNum w:abstractNumId="12">
    <w:nsid w:val="551D6EC6"/>
    <w:multiLevelType w:val="hybridMultilevel"/>
    <w:tmpl w:val="BCA6B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1045A"/>
    <w:multiLevelType w:val="hybridMultilevel"/>
    <w:tmpl w:val="D4926BB8"/>
    <w:lvl w:ilvl="0" w:tplc="EE386FAA">
      <w:start w:val="1"/>
      <w:numFmt w:val="lowerRoman"/>
      <w:lvlText w:val="%1."/>
      <w:lvlJc w:val="left"/>
      <w:pPr>
        <w:ind w:left="720" w:hanging="720"/>
      </w:pPr>
      <w:rPr>
        <w:rFonts w:ascii="Times New Roman" w:eastAsia="Times New Roman" w:hAnsi="Times New Roman" w:cs="Times New Roman"/>
      </w:rPr>
    </w:lvl>
    <w:lvl w:ilvl="1" w:tplc="04090001">
      <w:start w:val="1"/>
      <w:numFmt w:val="bullet"/>
      <w:lvlText w:val=""/>
      <w:lvlJc w:val="left"/>
      <w:pPr>
        <w:ind w:left="1080" w:hanging="360"/>
      </w:pPr>
      <w:rPr>
        <w:rFonts w:ascii="Symbol" w:hAnsi="Symbol" w:hint="default"/>
      </w:rPr>
    </w:lvl>
    <w:lvl w:ilvl="2" w:tplc="386C04FA">
      <w:start w:val="1"/>
      <w:numFmt w:val="lowerLetter"/>
      <w:lvlText w:val="%3."/>
      <w:lvlJc w:val="left"/>
      <w:pPr>
        <w:ind w:left="1980" w:hanging="360"/>
      </w:pPr>
      <w:rPr>
        <w:rFonts w:hint="default"/>
        <w:b/>
        <w:i/>
      </w:rPr>
    </w:lvl>
    <w:lvl w:ilvl="3" w:tplc="CBFC13D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BC7B2F"/>
    <w:multiLevelType w:val="hybridMultilevel"/>
    <w:tmpl w:val="00B2E53E"/>
    <w:lvl w:ilvl="0" w:tplc="E5CEBA66">
      <w:start w:val="1"/>
      <w:numFmt w:val="bullet"/>
      <w:lvlText w:val="•"/>
      <w:lvlJc w:val="left"/>
      <w:pPr>
        <w:tabs>
          <w:tab w:val="num" w:pos="720"/>
        </w:tabs>
        <w:ind w:left="720" w:hanging="360"/>
      </w:pPr>
      <w:rPr>
        <w:rFonts w:ascii="Arial" w:hAnsi="Arial" w:hint="default"/>
      </w:rPr>
    </w:lvl>
    <w:lvl w:ilvl="1" w:tplc="6E82FBC8">
      <w:start w:val="1"/>
      <w:numFmt w:val="bullet"/>
      <w:lvlText w:val="•"/>
      <w:lvlJc w:val="left"/>
      <w:pPr>
        <w:tabs>
          <w:tab w:val="num" w:pos="1440"/>
        </w:tabs>
        <w:ind w:left="1440" w:hanging="360"/>
      </w:pPr>
      <w:rPr>
        <w:rFonts w:ascii="Arial" w:hAnsi="Arial" w:hint="default"/>
      </w:rPr>
    </w:lvl>
    <w:lvl w:ilvl="2" w:tplc="C1185E6A" w:tentative="1">
      <w:start w:val="1"/>
      <w:numFmt w:val="bullet"/>
      <w:lvlText w:val="•"/>
      <w:lvlJc w:val="left"/>
      <w:pPr>
        <w:tabs>
          <w:tab w:val="num" w:pos="2160"/>
        </w:tabs>
        <w:ind w:left="2160" w:hanging="360"/>
      </w:pPr>
      <w:rPr>
        <w:rFonts w:ascii="Arial" w:hAnsi="Arial" w:hint="default"/>
      </w:rPr>
    </w:lvl>
    <w:lvl w:ilvl="3" w:tplc="9EDE4456" w:tentative="1">
      <w:start w:val="1"/>
      <w:numFmt w:val="bullet"/>
      <w:lvlText w:val="•"/>
      <w:lvlJc w:val="left"/>
      <w:pPr>
        <w:tabs>
          <w:tab w:val="num" w:pos="2880"/>
        </w:tabs>
        <w:ind w:left="2880" w:hanging="360"/>
      </w:pPr>
      <w:rPr>
        <w:rFonts w:ascii="Arial" w:hAnsi="Arial" w:hint="default"/>
      </w:rPr>
    </w:lvl>
    <w:lvl w:ilvl="4" w:tplc="0798B1C2" w:tentative="1">
      <w:start w:val="1"/>
      <w:numFmt w:val="bullet"/>
      <w:lvlText w:val="•"/>
      <w:lvlJc w:val="left"/>
      <w:pPr>
        <w:tabs>
          <w:tab w:val="num" w:pos="3600"/>
        </w:tabs>
        <w:ind w:left="3600" w:hanging="360"/>
      </w:pPr>
      <w:rPr>
        <w:rFonts w:ascii="Arial" w:hAnsi="Arial" w:hint="default"/>
      </w:rPr>
    </w:lvl>
    <w:lvl w:ilvl="5" w:tplc="D1C4C1F4" w:tentative="1">
      <w:start w:val="1"/>
      <w:numFmt w:val="bullet"/>
      <w:lvlText w:val="•"/>
      <w:lvlJc w:val="left"/>
      <w:pPr>
        <w:tabs>
          <w:tab w:val="num" w:pos="4320"/>
        </w:tabs>
        <w:ind w:left="4320" w:hanging="360"/>
      </w:pPr>
      <w:rPr>
        <w:rFonts w:ascii="Arial" w:hAnsi="Arial" w:hint="default"/>
      </w:rPr>
    </w:lvl>
    <w:lvl w:ilvl="6" w:tplc="2F8C5520" w:tentative="1">
      <w:start w:val="1"/>
      <w:numFmt w:val="bullet"/>
      <w:lvlText w:val="•"/>
      <w:lvlJc w:val="left"/>
      <w:pPr>
        <w:tabs>
          <w:tab w:val="num" w:pos="5040"/>
        </w:tabs>
        <w:ind w:left="5040" w:hanging="360"/>
      </w:pPr>
      <w:rPr>
        <w:rFonts w:ascii="Arial" w:hAnsi="Arial" w:hint="default"/>
      </w:rPr>
    </w:lvl>
    <w:lvl w:ilvl="7" w:tplc="0A8E429A" w:tentative="1">
      <w:start w:val="1"/>
      <w:numFmt w:val="bullet"/>
      <w:lvlText w:val="•"/>
      <w:lvlJc w:val="left"/>
      <w:pPr>
        <w:tabs>
          <w:tab w:val="num" w:pos="5760"/>
        </w:tabs>
        <w:ind w:left="5760" w:hanging="360"/>
      </w:pPr>
      <w:rPr>
        <w:rFonts w:ascii="Arial" w:hAnsi="Arial" w:hint="default"/>
      </w:rPr>
    </w:lvl>
    <w:lvl w:ilvl="8" w:tplc="96C44F10" w:tentative="1">
      <w:start w:val="1"/>
      <w:numFmt w:val="bullet"/>
      <w:lvlText w:val="•"/>
      <w:lvlJc w:val="left"/>
      <w:pPr>
        <w:tabs>
          <w:tab w:val="num" w:pos="6480"/>
        </w:tabs>
        <w:ind w:left="6480" w:hanging="360"/>
      </w:pPr>
      <w:rPr>
        <w:rFonts w:ascii="Arial" w:hAnsi="Arial" w:hint="default"/>
      </w:rPr>
    </w:lvl>
  </w:abstractNum>
  <w:abstractNum w:abstractNumId="15">
    <w:nsid w:val="5BD13871"/>
    <w:multiLevelType w:val="hybridMultilevel"/>
    <w:tmpl w:val="18F85D32"/>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386C04FA">
      <w:start w:val="1"/>
      <w:numFmt w:val="lowerLetter"/>
      <w:lvlText w:val="%3."/>
      <w:lvlJc w:val="left"/>
      <w:pPr>
        <w:ind w:left="1980" w:hanging="360"/>
      </w:pPr>
      <w:rPr>
        <w:rFonts w:hint="default"/>
        <w:b/>
        <w:i/>
      </w:rPr>
    </w:lvl>
    <w:lvl w:ilvl="3" w:tplc="CBFC13D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DD631EE"/>
    <w:multiLevelType w:val="hybridMultilevel"/>
    <w:tmpl w:val="58AC54B6"/>
    <w:lvl w:ilvl="0" w:tplc="173E286C">
      <w:start w:val="1"/>
      <w:numFmt w:val="bullet"/>
      <w:lvlText w:val=""/>
      <w:lvlJc w:val="left"/>
      <w:pPr>
        <w:ind w:left="720" w:hanging="360"/>
      </w:pPr>
      <w:rPr>
        <w:rFonts w:ascii="Symbol" w:hAnsi="Symbol" w:hint="default"/>
      </w:rPr>
    </w:lvl>
    <w:lvl w:ilvl="1" w:tplc="33906486" w:tentative="1">
      <w:start w:val="1"/>
      <w:numFmt w:val="bullet"/>
      <w:lvlText w:val="o"/>
      <w:lvlJc w:val="left"/>
      <w:pPr>
        <w:ind w:left="1440" w:hanging="360"/>
      </w:pPr>
      <w:rPr>
        <w:rFonts w:ascii="Courier New" w:hAnsi="Courier New" w:hint="default"/>
      </w:rPr>
    </w:lvl>
    <w:lvl w:ilvl="2" w:tplc="CBBC866E" w:tentative="1">
      <w:start w:val="1"/>
      <w:numFmt w:val="bullet"/>
      <w:lvlText w:val=""/>
      <w:lvlJc w:val="left"/>
      <w:pPr>
        <w:ind w:left="2160" w:hanging="360"/>
      </w:pPr>
      <w:rPr>
        <w:rFonts w:ascii="Wingdings" w:hAnsi="Wingdings" w:hint="default"/>
      </w:rPr>
    </w:lvl>
    <w:lvl w:ilvl="3" w:tplc="B386BE3E" w:tentative="1">
      <w:start w:val="1"/>
      <w:numFmt w:val="bullet"/>
      <w:lvlText w:val=""/>
      <w:lvlJc w:val="left"/>
      <w:pPr>
        <w:ind w:left="2880" w:hanging="360"/>
      </w:pPr>
      <w:rPr>
        <w:rFonts w:ascii="Symbol" w:hAnsi="Symbol" w:hint="default"/>
      </w:rPr>
    </w:lvl>
    <w:lvl w:ilvl="4" w:tplc="E5BE51AC" w:tentative="1">
      <w:start w:val="1"/>
      <w:numFmt w:val="bullet"/>
      <w:lvlText w:val="o"/>
      <w:lvlJc w:val="left"/>
      <w:pPr>
        <w:ind w:left="3600" w:hanging="360"/>
      </w:pPr>
      <w:rPr>
        <w:rFonts w:ascii="Courier New" w:hAnsi="Courier New" w:hint="default"/>
      </w:rPr>
    </w:lvl>
    <w:lvl w:ilvl="5" w:tplc="9E8E5B06" w:tentative="1">
      <w:start w:val="1"/>
      <w:numFmt w:val="bullet"/>
      <w:lvlText w:val=""/>
      <w:lvlJc w:val="left"/>
      <w:pPr>
        <w:ind w:left="4320" w:hanging="360"/>
      </w:pPr>
      <w:rPr>
        <w:rFonts w:ascii="Wingdings" w:hAnsi="Wingdings" w:hint="default"/>
      </w:rPr>
    </w:lvl>
    <w:lvl w:ilvl="6" w:tplc="72A0FE4A" w:tentative="1">
      <w:start w:val="1"/>
      <w:numFmt w:val="bullet"/>
      <w:lvlText w:val=""/>
      <w:lvlJc w:val="left"/>
      <w:pPr>
        <w:ind w:left="5040" w:hanging="360"/>
      </w:pPr>
      <w:rPr>
        <w:rFonts w:ascii="Symbol" w:hAnsi="Symbol" w:hint="default"/>
      </w:rPr>
    </w:lvl>
    <w:lvl w:ilvl="7" w:tplc="0BA07A18" w:tentative="1">
      <w:start w:val="1"/>
      <w:numFmt w:val="bullet"/>
      <w:lvlText w:val="o"/>
      <w:lvlJc w:val="left"/>
      <w:pPr>
        <w:ind w:left="5760" w:hanging="360"/>
      </w:pPr>
      <w:rPr>
        <w:rFonts w:ascii="Courier New" w:hAnsi="Courier New" w:hint="default"/>
      </w:rPr>
    </w:lvl>
    <w:lvl w:ilvl="8" w:tplc="62BC55EA" w:tentative="1">
      <w:start w:val="1"/>
      <w:numFmt w:val="bullet"/>
      <w:lvlText w:val=""/>
      <w:lvlJc w:val="left"/>
      <w:pPr>
        <w:ind w:left="6480" w:hanging="360"/>
      </w:pPr>
      <w:rPr>
        <w:rFonts w:ascii="Wingdings" w:hAnsi="Wingdings" w:hint="default"/>
      </w:rPr>
    </w:lvl>
  </w:abstractNum>
  <w:abstractNum w:abstractNumId="17">
    <w:nsid w:val="65D16033"/>
    <w:multiLevelType w:val="multilevel"/>
    <w:tmpl w:val="4CF491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07D3B85"/>
    <w:multiLevelType w:val="hybridMultilevel"/>
    <w:tmpl w:val="3C141C26"/>
    <w:lvl w:ilvl="0" w:tplc="39CCD914">
      <w:start w:val="1"/>
      <w:numFmt w:val="bullet"/>
      <w:lvlText w:val=""/>
      <w:lvlJc w:val="left"/>
      <w:pPr>
        <w:ind w:left="720" w:hanging="360"/>
      </w:pPr>
      <w:rPr>
        <w:rFonts w:ascii="Symbol" w:hAnsi="Symbol" w:hint="default"/>
      </w:rPr>
    </w:lvl>
    <w:lvl w:ilvl="1" w:tplc="53EA92E2" w:tentative="1">
      <w:start w:val="1"/>
      <w:numFmt w:val="bullet"/>
      <w:lvlText w:val="o"/>
      <w:lvlJc w:val="left"/>
      <w:pPr>
        <w:ind w:left="1440" w:hanging="360"/>
      </w:pPr>
      <w:rPr>
        <w:rFonts w:ascii="Courier New" w:hAnsi="Courier New" w:hint="default"/>
      </w:rPr>
    </w:lvl>
    <w:lvl w:ilvl="2" w:tplc="88EE9198" w:tentative="1">
      <w:start w:val="1"/>
      <w:numFmt w:val="bullet"/>
      <w:lvlText w:val=""/>
      <w:lvlJc w:val="left"/>
      <w:pPr>
        <w:ind w:left="2160" w:hanging="360"/>
      </w:pPr>
      <w:rPr>
        <w:rFonts w:ascii="Wingdings" w:hAnsi="Wingdings" w:hint="default"/>
      </w:rPr>
    </w:lvl>
    <w:lvl w:ilvl="3" w:tplc="E59C3514" w:tentative="1">
      <w:start w:val="1"/>
      <w:numFmt w:val="bullet"/>
      <w:lvlText w:val=""/>
      <w:lvlJc w:val="left"/>
      <w:pPr>
        <w:ind w:left="2880" w:hanging="360"/>
      </w:pPr>
      <w:rPr>
        <w:rFonts w:ascii="Symbol" w:hAnsi="Symbol" w:hint="default"/>
      </w:rPr>
    </w:lvl>
    <w:lvl w:ilvl="4" w:tplc="BF48B586" w:tentative="1">
      <w:start w:val="1"/>
      <w:numFmt w:val="bullet"/>
      <w:lvlText w:val="o"/>
      <w:lvlJc w:val="left"/>
      <w:pPr>
        <w:ind w:left="3600" w:hanging="360"/>
      </w:pPr>
      <w:rPr>
        <w:rFonts w:ascii="Courier New" w:hAnsi="Courier New" w:hint="default"/>
      </w:rPr>
    </w:lvl>
    <w:lvl w:ilvl="5" w:tplc="5C2C6FB0" w:tentative="1">
      <w:start w:val="1"/>
      <w:numFmt w:val="bullet"/>
      <w:lvlText w:val=""/>
      <w:lvlJc w:val="left"/>
      <w:pPr>
        <w:ind w:left="4320" w:hanging="360"/>
      </w:pPr>
      <w:rPr>
        <w:rFonts w:ascii="Wingdings" w:hAnsi="Wingdings" w:hint="default"/>
      </w:rPr>
    </w:lvl>
    <w:lvl w:ilvl="6" w:tplc="1C1250F0" w:tentative="1">
      <w:start w:val="1"/>
      <w:numFmt w:val="bullet"/>
      <w:lvlText w:val=""/>
      <w:lvlJc w:val="left"/>
      <w:pPr>
        <w:ind w:left="5040" w:hanging="360"/>
      </w:pPr>
      <w:rPr>
        <w:rFonts w:ascii="Symbol" w:hAnsi="Symbol" w:hint="default"/>
      </w:rPr>
    </w:lvl>
    <w:lvl w:ilvl="7" w:tplc="67DE0FCE" w:tentative="1">
      <w:start w:val="1"/>
      <w:numFmt w:val="bullet"/>
      <w:lvlText w:val="o"/>
      <w:lvlJc w:val="left"/>
      <w:pPr>
        <w:ind w:left="5760" w:hanging="360"/>
      </w:pPr>
      <w:rPr>
        <w:rFonts w:ascii="Courier New" w:hAnsi="Courier New" w:hint="default"/>
      </w:rPr>
    </w:lvl>
    <w:lvl w:ilvl="8" w:tplc="9A868C54" w:tentative="1">
      <w:start w:val="1"/>
      <w:numFmt w:val="bullet"/>
      <w:lvlText w:val=""/>
      <w:lvlJc w:val="left"/>
      <w:pPr>
        <w:ind w:left="6480" w:hanging="360"/>
      </w:pPr>
      <w:rPr>
        <w:rFonts w:ascii="Wingdings" w:hAnsi="Wingdings" w:hint="default"/>
      </w:rPr>
    </w:lvl>
  </w:abstractNum>
  <w:abstractNum w:abstractNumId="19">
    <w:nsid w:val="75A50A7E"/>
    <w:multiLevelType w:val="hybridMultilevel"/>
    <w:tmpl w:val="F1A6005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C379B1"/>
    <w:multiLevelType w:val="hybridMultilevel"/>
    <w:tmpl w:val="1A6A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2"/>
  </w:num>
  <w:num w:numId="2">
    <w:abstractNumId w:val="14"/>
  </w:num>
  <w:num w:numId="3">
    <w:abstractNumId w:val="10"/>
  </w:num>
  <w:num w:numId="4">
    <w:abstractNumId w:val="6"/>
  </w:num>
  <w:num w:numId="5">
    <w:abstractNumId w:val="11"/>
  </w:num>
  <w:num w:numId="6">
    <w:abstractNumId w:val="16"/>
  </w:num>
  <w:num w:numId="7">
    <w:abstractNumId w:val="0"/>
  </w:num>
  <w:num w:numId="8">
    <w:abstractNumId w:val="18"/>
  </w:num>
  <w:num w:numId="9">
    <w:abstractNumId w:val="7"/>
  </w:num>
  <w:num w:numId="10">
    <w:abstractNumId w:val="1"/>
  </w:num>
  <w:num w:numId="11">
    <w:abstractNumId w:val="12"/>
  </w:num>
  <w:num w:numId="12">
    <w:abstractNumId w:val="9"/>
  </w:num>
  <w:num w:numId="13">
    <w:abstractNumId w:val="13"/>
  </w:num>
  <w:num w:numId="14">
    <w:abstractNumId w:val="20"/>
  </w:num>
  <w:num w:numId="15">
    <w:abstractNumId w:val="17"/>
  </w:num>
  <w:num w:numId="16">
    <w:abstractNumId w:val="8"/>
  </w:num>
  <w:num w:numId="17">
    <w:abstractNumId w:val="4"/>
  </w:num>
  <w:num w:numId="18">
    <w:abstractNumId w:val="19"/>
  </w:num>
  <w:num w:numId="19">
    <w:abstractNumId w:val="3"/>
  </w:num>
  <w:num w:numId="20">
    <w:abstractNumId w:val="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62B97"/>
    <w:rsid w:val="00000663"/>
    <w:rsid w:val="0001128E"/>
    <w:rsid w:val="00023E5E"/>
    <w:rsid w:val="00080156"/>
    <w:rsid w:val="00080AAC"/>
    <w:rsid w:val="00087BD4"/>
    <w:rsid w:val="000A1777"/>
    <w:rsid w:val="000B79D0"/>
    <w:rsid w:val="000F17A3"/>
    <w:rsid w:val="0010540C"/>
    <w:rsid w:val="001103E7"/>
    <w:rsid w:val="00114C0B"/>
    <w:rsid w:val="00126A97"/>
    <w:rsid w:val="001722E3"/>
    <w:rsid w:val="001856C7"/>
    <w:rsid w:val="001E15DA"/>
    <w:rsid w:val="001E71D1"/>
    <w:rsid w:val="001F7774"/>
    <w:rsid w:val="00205104"/>
    <w:rsid w:val="002069AB"/>
    <w:rsid w:val="0020728A"/>
    <w:rsid w:val="00214F74"/>
    <w:rsid w:val="00216A9B"/>
    <w:rsid w:val="00225831"/>
    <w:rsid w:val="00247BBC"/>
    <w:rsid w:val="002601F3"/>
    <w:rsid w:val="00262B97"/>
    <w:rsid w:val="00275EA3"/>
    <w:rsid w:val="00284E3E"/>
    <w:rsid w:val="002860B6"/>
    <w:rsid w:val="00287F71"/>
    <w:rsid w:val="002A489D"/>
    <w:rsid w:val="002B12E6"/>
    <w:rsid w:val="002C133B"/>
    <w:rsid w:val="002C22E8"/>
    <w:rsid w:val="002C2BA2"/>
    <w:rsid w:val="002C383C"/>
    <w:rsid w:val="002C3E6C"/>
    <w:rsid w:val="003207E8"/>
    <w:rsid w:val="00326C13"/>
    <w:rsid w:val="00333448"/>
    <w:rsid w:val="00350537"/>
    <w:rsid w:val="003B288B"/>
    <w:rsid w:val="003C2870"/>
    <w:rsid w:val="003C3ED1"/>
    <w:rsid w:val="003C5D46"/>
    <w:rsid w:val="003C631A"/>
    <w:rsid w:val="003D539B"/>
    <w:rsid w:val="003E5B0B"/>
    <w:rsid w:val="003F0806"/>
    <w:rsid w:val="003F139D"/>
    <w:rsid w:val="003F5F37"/>
    <w:rsid w:val="00423834"/>
    <w:rsid w:val="004322D7"/>
    <w:rsid w:val="00444F39"/>
    <w:rsid w:val="00461B19"/>
    <w:rsid w:val="00471AC4"/>
    <w:rsid w:val="00472ECE"/>
    <w:rsid w:val="00482D7A"/>
    <w:rsid w:val="00486806"/>
    <w:rsid w:val="00486DDE"/>
    <w:rsid w:val="00490983"/>
    <w:rsid w:val="0049675B"/>
    <w:rsid w:val="00496F06"/>
    <w:rsid w:val="004B2E4C"/>
    <w:rsid w:val="004B369B"/>
    <w:rsid w:val="004D3450"/>
    <w:rsid w:val="004E2A41"/>
    <w:rsid w:val="00512ED7"/>
    <w:rsid w:val="0052497E"/>
    <w:rsid w:val="00527D12"/>
    <w:rsid w:val="00532C70"/>
    <w:rsid w:val="00533A13"/>
    <w:rsid w:val="00534A34"/>
    <w:rsid w:val="00553AB1"/>
    <w:rsid w:val="0055601D"/>
    <w:rsid w:val="00556BC7"/>
    <w:rsid w:val="005A3D0B"/>
    <w:rsid w:val="005A4DCE"/>
    <w:rsid w:val="005B1A89"/>
    <w:rsid w:val="005C2E72"/>
    <w:rsid w:val="005C3EA1"/>
    <w:rsid w:val="005C472B"/>
    <w:rsid w:val="0060538E"/>
    <w:rsid w:val="00605AD0"/>
    <w:rsid w:val="0062565F"/>
    <w:rsid w:val="00637BF8"/>
    <w:rsid w:val="00647113"/>
    <w:rsid w:val="00652988"/>
    <w:rsid w:val="006556B1"/>
    <w:rsid w:val="006560B8"/>
    <w:rsid w:val="00664429"/>
    <w:rsid w:val="0067362C"/>
    <w:rsid w:val="00676640"/>
    <w:rsid w:val="006930D1"/>
    <w:rsid w:val="006972C0"/>
    <w:rsid w:val="006A115E"/>
    <w:rsid w:val="006A7E78"/>
    <w:rsid w:val="006D03B6"/>
    <w:rsid w:val="006D4528"/>
    <w:rsid w:val="006D4F0B"/>
    <w:rsid w:val="006F1E7B"/>
    <w:rsid w:val="006F1ECE"/>
    <w:rsid w:val="0070124A"/>
    <w:rsid w:val="007118CD"/>
    <w:rsid w:val="00714CA4"/>
    <w:rsid w:val="0071579D"/>
    <w:rsid w:val="00721A10"/>
    <w:rsid w:val="007340B7"/>
    <w:rsid w:val="007345FA"/>
    <w:rsid w:val="0074007D"/>
    <w:rsid w:val="007457BE"/>
    <w:rsid w:val="007941C2"/>
    <w:rsid w:val="007C1B6E"/>
    <w:rsid w:val="007D2F4A"/>
    <w:rsid w:val="007D62EF"/>
    <w:rsid w:val="00810AAB"/>
    <w:rsid w:val="008563C1"/>
    <w:rsid w:val="00856632"/>
    <w:rsid w:val="00856872"/>
    <w:rsid w:val="008608FE"/>
    <w:rsid w:val="0086094D"/>
    <w:rsid w:val="008A2EF1"/>
    <w:rsid w:val="008B526F"/>
    <w:rsid w:val="008C19D2"/>
    <w:rsid w:val="008C5CB0"/>
    <w:rsid w:val="008E0EBF"/>
    <w:rsid w:val="008F1C5C"/>
    <w:rsid w:val="008F4A79"/>
    <w:rsid w:val="008F6C46"/>
    <w:rsid w:val="00901CD4"/>
    <w:rsid w:val="0091052C"/>
    <w:rsid w:val="009114FB"/>
    <w:rsid w:val="0092451A"/>
    <w:rsid w:val="00936ED7"/>
    <w:rsid w:val="009441F3"/>
    <w:rsid w:val="00955195"/>
    <w:rsid w:val="009571AB"/>
    <w:rsid w:val="00957B29"/>
    <w:rsid w:val="00964F54"/>
    <w:rsid w:val="009A6BD2"/>
    <w:rsid w:val="009B44F5"/>
    <w:rsid w:val="009B48BE"/>
    <w:rsid w:val="009E4CB9"/>
    <w:rsid w:val="00A04F0E"/>
    <w:rsid w:val="00A06C2C"/>
    <w:rsid w:val="00A12394"/>
    <w:rsid w:val="00A1539B"/>
    <w:rsid w:val="00A1791B"/>
    <w:rsid w:val="00A47FD9"/>
    <w:rsid w:val="00A517A3"/>
    <w:rsid w:val="00A53209"/>
    <w:rsid w:val="00A57810"/>
    <w:rsid w:val="00A621FE"/>
    <w:rsid w:val="00A64EE3"/>
    <w:rsid w:val="00A71B56"/>
    <w:rsid w:val="00A74957"/>
    <w:rsid w:val="00A767A0"/>
    <w:rsid w:val="00A77C7E"/>
    <w:rsid w:val="00A93725"/>
    <w:rsid w:val="00AA025D"/>
    <w:rsid w:val="00AB0457"/>
    <w:rsid w:val="00AB47EE"/>
    <w:rsid w:val="00AC13A9"/>
    <w:rsid w:val="00AD1253"/>
    <w:rsid w:val="00AD462A"/>
    <w:rsid w:val="00AE1FC1"/>
    <w:rsid w:val="00AE3787"/>
    <w:rsid w:val="00AE666D"/>
    <w:rsid w:val="00AF10E0"/>
    <w:rsid w:val="00AF2623"/>
    <w:rsid w:val="00B1705D"/>
    <w:rsid w:val="00B3514F"/>
    <w:rsid w:val="00B4021F"/>
    <w:rsid w:val="00B7504D"/>
    <w:rsid w:val="00B761A6"/>
    <w:rsid w:val="00B81FC4"/>
    <w:rsid w:val="00BA68C6"/>
    <w:rsid w:val="00BC680C"/>
    <w:rsid w:val="00BD4A3A"/>
    <w:rsid w:val="00BD5F98"/>
    <w:rsid w:val="00BE6769"/>
    <w:rsid w:val="00BF293E"/>
    <w:rsid w:val="00BF585F"/>
    <w:rsid w:val="00C17381"/>
    <w:rsid w:val="00C177D7"/>
    <w:rsid w:val="00C25169"/>
    <w:rsid w:val="00C37774"/>
    <w:rsid w:val="00C445DD"/>
    <w:rsid w:val="00C52EC9"/>
    <w:rsid w:val="00C64B75"/>
    <w:rsid w:val="00C9633D"/>
    <w:rsid w:val="00CA48F6"/>
    <w:rsid w:val="00CB647E"/>
    <w:rsid w:val="00CC125E"/>
    <w:rsid w:val="00CD2641"/>
    <w:rsid w:val="00D0095B"/>
    <w:rsid w:val="00D024D2"/>
    <w:rsid w:val="00D03AF2"/>
    <w:rsid w:val="00D05955"/>
    <w:rsid w:val="00D175C5"/>
    <w:rsid w:val="00D24943"/>
    <w:rsid w:val="00D332F9"/>
    <w:rsid w:val="00D52813"/>
    <w:rsid w:val="00D52FB1"/>
    <w:rsid w:val="00D53588"/>
    <w:rsid w:val="00D539AD"/>
    <w:rsid w:val="00D7183A"/>
    <w:rsid w:val="00D77400"/>
    <w:rsid w:val="00D777A2"/>
    <w:rsid w:val="00D827B1"/>
    <w:rsid w:val="00D83CE9"/>
    <w:rsid w:val="00D8658E"/>
    <w:rsid w:val="00D87275"/>
    <w:rsid w:val="00DA2D4B"/>
    <w:rsid w:val="00DA4B9B"/>
    <w:rsid w:val="00DB5254"/>
    <w:rsid w:val="00DE0272"/>
    <w:rsid w:val="00DE6948"/>
    <w:rsid w:val="00E04BA1"/>
    <w:rsid w:val="00E20E87"/>
    <w:rsid w:val="00E3146F"/>
    <w:rsid w:val="00E31F4D"/>
    <w:rsid w:val="00E32AF7"/>
    <w:rsid w:val="00E446E0"/>
    <w:rsid w:val="00E52C19"/>
    <w:rsid w:val="00E61660"/>
    <w:rsid w:val="00E852EA"/>
    <w:rsid w:val="00E86EF1"/>
    <w:rsid w:val="00E9025A"/>
    <w:rsid w:val="00E913E5"/>
    <w:rsid w:val="00EA26EB"/>
    <w:rsid w:val="00ED332E"/>
    <w:rsid w:val="00EF565F"/>
    <w:rsid w:val="00F00993"/>
    <w:rsid w:val="00F07C6B"/>
    <w:rsid w:val="00F14B1A"/>
    <w:rsid w:val="00F37640"/>
    <w:rsid w:val="00F509FA"/>
    <w:rsid w:val="00F76D2B"/>
    <w:rsid w:val="00F8763F"/>
    <w:rsid w:val="00F94BCA"/>
    <w:rsid w:val="00FA0135"/>
    <w:rsid w:val="00FF2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2C0"/>
    <w:pPr>
      <w:spacing w:after="200" w:line="276" w:lineRule="auto"/>
    </w:pPr>
    <w:rPr>
      <w:sz w:val="22"/>
      <w:szCs w:val="22"/>
    </w:rPr>
  </w:style>
  <w:style w:type="paragraph" w:styleId="Heading1">
    <w:name w:val="heading 1"/>
    <w:basedOn w:val="Normal"/>
    <w:next w:val="Normal"/>
    <w:qFormat/>
    <w:rsid w:val="006972C0"/>
    <w:pPr>
      <w:keepNext/>
      <w:outlineLvl w:val="0"/>
    </w:pPr>
    <w:rPr>
      <w:b/>
    </w:rPr>
  </w:style>
  <w:style w:type="paragraph" w:styleId="Heading2">
    <w:name w:val="heading 2"/>
    <w:basedOn w:val="Normal"/>
    <w:next w:val="Normal"/>
    <w:qFormat/>
    <w:rsid w:val="006972C0"/>
    <w:pPr>
      <w:keepNext/>
      <w:jc w:val="both"/>
      <w:outlineLvl w:val="1"/>
    </w:pPr>
    <w:rPr>
      <w:b/>
    </w:rPr>
  </w:style>
  <w:style w:type="paragraph" w:styleId="Heading3">
    <w:name w:val="heading 3"/>
    <w:basedOn w:val="Normal"/>
    <w:next w:val="Normal"/>
    <w:link w:val="Heading3Char"/>
    <w:uiPriority w:val="9"/>
    <w:unhideWhenUsed/>
    <w:qFormat/>
    <w:rsid w:val="00964F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972C0"/>
    <w:pPr>
      <w:ind w:left="720"/>
      <w:contextualSpacing/>
    </w:pPr>
  </w:style>
  <w:style w:type="paragraph" w:styleId="BodyText">
    <w:name w:val="Body Text"/>
    <w:basedOn w:val="Normal"/>
    <w:semiHidden/>
    <w:rsid w:val="006972C0"/>
    <w:pPr>
      <w:jc w:val="both"/>
    </w:pPr>
  </w:style>
  <w:style w:type="paragraph" w:styleId="FootnoteText">
    <w:name w:val="footnote text"/>
    <w:basedOn w:val="Normal"/>
    <w:uiPriority w:val="99"/>
    <w:semiHidden/>
    <w:rsid w:val="006972C0"/>
    <w:pPr>
      <w:spacing w:after="0" w:line="240" w:lineRule="auto"/>
    </w:pPr>
    <w:rPr>
      <w:rFonts w:ascii="Times New Roman" w:hAnsi="Times New Roman"/>
      <w:sz w:val="20"/>
      <w:szCs w:val="20"/>
    </w:rPr>
  </w:style>
  <w:style w:type="character" w:customStyle="1" w:styleId="FootnoteTextChar">
    <w:name w:val="Footnote Text Char"/>
    <w:basedOn w:val="DefaultParagraphFont"/>
    <w:uiPriority w:val="99"/>
    <w:semiHidden/>
    <w:locked/>
    <w:rsid w:val="006972C0"/>
    <w:rPr>
      <w:rFonts w:ascii="Times New Roman" w:hAnsi="Times New Roman" w:cs="Times New Roman"/>
      <w:sz w:val="20"/>
      <w:szCs w:val="20"/>
    </w:rPr>
  </w:style>
  <w:style w:type="paragraph" w:customStyle="1" w:styleId="Default">
    <w:name w:val="Default"/>
    <w:rsid w:val="006972C0"/>
    <w:rPr>
      <w:rFonts w:ascii="Times New Roman" w:hAnsi="Times New Roman"/>
      <w:color w:val="000000"/>
      <w:sz w:val="24"/>
    </w:rPr>
  </w:style>
  <w:style w:type="paragraph" w:styleId="Header">
    <w:name w:val="header"/>
    <w:basedOn w:val="Normal"/>
    <w:uiPriority w:val="99"/>
    <w:rsid w:val="006972C0"/>
    <w:pPr>
      <w:tabs>
        <w:tab w:val="center" w:pos="4320"/>
        <w:tab w:val="right" w:pos="8640"/>
      </w:tabs>
      <w:spacing w:after="0" w:line="240" w:lineRule="auto"/>
    </w:pPr>
    <w:rPr>
      <w:rFonts w:ascii="Times New Roman" w:hAnsi="Times New Roman"/>
      <w:sz w:val="24"/>
      <w:szCs w:val="20"/>
    </w:rPr>
  </w:style>
  <w:style w:type="character" w:customStyle="1" w:styleId="HeaderChar">
    <w:name w:val="Header Char"/>
    <w:basedOn w:val="DefaultParagraphFont"/>
    <w:uiPriority w:val="99"/>
    <w:locked/>
    <w:rsid w:val="006972C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972C0"/>
    <w:rPr>
      <w:rFonts w:cs="Times New Roman"/>
      <w:vertAlign w:val="superscript"/>
    </w:rPr>
  </w:style>
  <w:style w:type="paragraph" w:styleId="Footer">
    <w:name w:val="footer"/>
    <w:basedOn w:val="Normal"/>
    <w:link w:val="FooterChar"/>
    <w:uiPriority w:val="99"/>
    <w:rsid w:val="006972C0"/>
    <w:pPr>
      <w:tabs>
        <w:tab w:val="center" w:pos="4320"/>
        <w:tab w:val="right" w:pos="8640"/>
      </w:tabs>
      <w:spacing w:after="0" w:line="240" w:lineRule="auto"/>
    </w:pPr>
    <w:rPr>
      <w:rFonts w:ascii="Times New Roman" w:hAnsi="Times New Roman"/>
      <w:sz w:val="24"/>
    </w:rPr>
  </w:style>
  <w:style w:type="character" w:styleId="PageNumber">
    <w:name w:val="page number"/>
    <w:basedOn w:val="DefaultParagraphFont"/>
    <w:semiHidden/>
    <w:rsid w:val="006972C0"/>
  </w:style>
  <w:style w:type="paragraph" w:styleId="BalloonText">
    <w:name w:val="Balloon Text"/>
    <w:basedOn w:val="Normal"/>
    <w:link w:val="BalloonTextChar"/>
    <w:uiPriority w:val="99"/>
    <w:semiHidden/>
    <w:unhideWhenUsed/>
    <w:rsid w:val="00262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B97"/>
    <w:rPr>
      <w:rFonts w:ascii="Tahoma" w:hAnsi="Tahoma" w:cs="Tahoma"/>
      <w:sz w:val="16"/>
      <w:szCs w:val="16"/>
    </w:rPr>
  </w:style>
  <w:style w:type="character" w:customStyle="1" w:styleId="FooterChar">
    <w:name w:val="Footer Char"/>
    <w:basedOn w:val="DefaultParagraphFont"/>
    <w:link w:val="Footer"/>
    <w:uiPriority w:val="99"/>
    <w:rsid w:val="002B12E6"/>
    <w:rPr>
      <w:rFonts w:ascii="Times New Roman" w:hAnsi="Times New Roman"/>
      <w:sz w:val="24"/>
      <w:szCs w:val="22"/>
    </w:rPr>
  </w:style>
  <w:style w:type="character" w:styleId="Hyperlink">
    <w:name w:val="Hyperlink"/>
    <w:basedOn w:val="DefaultParagraphFont"/>
    <w:rsid w:val="00E20E87"/>
    <w:rPr>
      <w:u w:val="single"/>
    </w:rPr>
  </w:style>
  <w:style w:type="character" w:customStyle="1" w:styleId="Heading3Char">
    <w:name w:val="Heading 3 Char"/>
    <w:basedOn w:val="DefaultParagraphFont"/>
    <w:link w:val="Heading3"/>
    <w:uiPriority w:val="9"/>
    <w:rsid w:val="00964F54"/>
    <w:rPr>
      <w:rFonts w:asciiTheme="majorHAnsi" w:eastAsiaTheme="majorEastAsia" w:hAnsiTheme="majorHAnsi" w:cstheme="majorBidi"/>
      <w:b/>
      <w:bCs/>
      <w:color w:val="4F81BD" w:themeColor="accent1"/>
      <w:sz w:val="22"/>
      <w:szCs w:val="22"/>
    </w:rPr>
  </w:style>
  <w:style w:type="character" w:customStyle="1" w:styleId="a">
    <w:name w:val="a"/>
    <w:basedOn w:val="DefaultParagraphFont"/>
    <w:rsid w:val="00964F54"/>
  </w:style>
  <w:style w:type="paragraph" w:styleId="Caption">
    <w:name w:val="caption"/>
    <w:basedOn w:val="Normal"/>
    <w:next w:val="Normal"/>
    <w:uiPriority w:val="35"/>
    <w:unhideWhenUsed/>
    <w:qFormat/>
    <w:rsid w:val="006D4F0B"/>
    <w:pPr>
      <w:spacing w:line="240" w:lineRule="auto"/>
    </w:pPr>
    <w:rPr>
      <w:b/>
      <w:bCs/>
      <w:color w:val="4F81BD" w:themeColor="accent1"/>
      <w:sz w:val="18"/>
      <w:szCs w:val="18"/>
    </w:rPr>
  </w:style>
  <w:style w:type="table" w:styleId="TableGrid">
    <w:name w:val="Table Grid"/>
    <w:basedOn w:val="TableNormal"/>
    <w:uiPriority w:val="59"/>
    <w:rsid w:val="00320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899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_ob=PublicationURL&amp;_tockey=%23TOC%235940%232008%23998579997%23676734%23FLA%23&amp;_cdi=5940&amp;_pubType=J&amp;view=c&amp;_auth=y&amp;_acct=C000050221&amp;_version=1&amp;_urlVersion=0&amp;_userid=10&amp;md5=766df653a420e5fd657b84e3141dccb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stor.org/stable/269219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A5CCC-B9FB-433B-B4FD-370ED29B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10</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What is impact evaluation, and why should we do it</vt:lpstr>
    </vt:vector>
  </TitlesOfParts>
  <Company>The World Bank Group</Company>
  <LinksUpToDate>false</LinksUpToDate>
  <CharactersWithSpaces>25398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impact evaluation, and why should we do it</dc:title>
  <dc:creator>wb153733</dc:creator>
  <cp:lastModifiedBy>Dina</cp:lastModifiedBy>
  <cp:revision>21</cp:revision>
  <cp:lastPrinted>2009-11-05T20:51:00Z</cp:lastPrinted>
  <dcterms:created xsi:type="dcterms:W3CDTF">2009-11-18T15:55:00Z</dcterms:created>
  <dcterms:modified xsi:type="dcterms:W3CDTF">2015-01-20T17:51:00Z</dcterms:modified>
</cp:coreProperties>
</file>